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024" w:rsidRPr="00C56024" w:rsidRDefault="00C56024" w:rsidP="00C56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Insights</w: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This document summarizes the key findings obtained from the analysis of the loan dataset.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Insights</w: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1. Loan Portfolio Overview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The organization processed 10,000 loan applications, providing a comprehensive view of customer lending behavior.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2. Default Analysis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Approximately 31.87% of loans resulted in default, indicating a significant level of credit risk within the portfolio.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3. Customer Risk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Customers with lower credit scores and higher debt-to-income ratios showed a greater likelihood of default.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4. Employment Analysis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Loan repayment performance varied across employment categories, highlighting differences in financial stability among customer groups.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Loan Purpose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Certain loan purposes demonstrated higher default rates, suggesting that lending risk differs by borrowing intent.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024">
        <w:rPr>
          <w:rFonts w:ascii="Times New Roman" w:eastAsia="Times New Roman" w:hAnsi="Times New Roman" w:cs="Times New Roman"/>
          <w:b/>
          <w:bCs/>
          <w:sz w:val="36"/>
          <w:szCs w:val="36"/>
        </w:rPr>
        <w:t>6. Geographic Analysis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Loan performance varied across branches and states, indicating regional differences in repayment behavior.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Recommendations</w:t>
      </w:r>
    </w:p>
    <w:p w:rsidR="00C56024" w:rsidRPr="00C56024" w:rsidRDefault="00C56024" w:rsidP="00C56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Strengthen credit assessment for high-risk applicants.</w:t>
      </w:r>
    </w:p>
    <w:p w:rsidR="00C56024" w:rsidRPr="00C56024" w:rsidRDefault="00C56024" w:rsidP="00C56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Closely monitor customers with low credit scores.</w:t>
      </w:r>
    </w:p>
    <w:p w:rsidR="00C56024" w:rsidRPr="00C56024" w:rsidRDefault="00C56024" w:rsidP="00C56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Consider debt-to-income ratio during loan approval.</w:t>
      </w:r>
    </w:p>
    <w:p w:rsidR="00C56024" w:rsidRPr="00C56024" w:rsidRDefault="00C56024" w:rsidP="00C56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Review lending policies for high-risk loan purposes.</w:t>
      </w:r>
    </w:p>
    <w:p w:rsidR="00C56024" w:rsidRPr="00C56024" w:rsidRDefault="00C56024" w:rsidP="00C56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Monitor branch-level performance to improve portfolio quality.</w:t>
      </w:r>
    </w:p>
    <w:p w:rsidR="00C56024" w:rsidRPr="00C56024" w:rsidRDefault="00C56024" w:rsidP="00C56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56024" w:rsidRPr="00C56024" w:rsidRDefault="00C56024" w:rsidP="00C56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Value</w:t>
      </w:r>
    </w:p>
    <w:p w:rsidR="00C56024" w:rsidRPr="00C56024" w:rsidRDefault="00C56024" w:rsidP="00C5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024">
        <w:rPr>
          <w:rFonts w:ascii="Times New Roman" w:eastAsia="Times New Roman" w:hAnsi="Times New Roman" w:cs="Times New Roman"/>
          <w:sz w:val="24"/>
          <w:szCs w:val="24"/>
        </w:rPr>
        <w:t>The analysis supports data-driven lending decisions by identifying risk factors, monitoring portfolio performance, and enabling proactive credit risk management.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C1A6A"/>
    <w:multiLevelType w:val="multilevel"/>
    <w:tmpl w:val="321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56024"/>
    <w:rsid w:val="000E5300"/>
    <w:rsid w:val="00C56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C56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0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6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>Arkansas State University</Company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2026-08-05T05:17:00Z</dcterms:created>
  <dcterms:modified xsi:type="dcterms:W3CDTF">2026-08-05T05:17:00Z</dcterms:modified>
</cp:coreProperties>
</file>