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28"/>
        </w:rPr>
        <w:t>ASSIGNMENT – 1</w:t>
      </w:r>
    </w:p>
    <w:p>
      <w:pPr>
        <w:spacing w:after="100"/>
        <w:jc w:val="center"/>
      </w:pPr>
      <w:r>
        <w:rPr>
          <w:rFonts w:ascii="Times New Roman" w:hAnsi="Times New Roman"/>
          <w:b/>
          <w:sz w:val="26"/>
        </w:rPr>
        <w:t>FINANCIAL ANALYTICS</w:t>
      </w:r>
    </w:p>
    <w:p>
      <w:pPr>
        <w:spacing w:after="100"/>
        <w:jc w:val="center"/>
      </w:pPr>
      <w:r>
        <w:rPr>
          <w:rFonts w:ascii="Times New Roman" w:hAnsi="Times New Roman"/>
          <w:b/>
          <w:sz w:val="30"/>
        </w:rPr>
        <w:t>FINANCIAL AND BUSINESS ANALYSIS OF CIPLA LIMITED</w:t>
      </w:r>
    </w:p>
    <w:p>
      <w:pPr>
        <w:jc w:val="center"/>
      </w:pPr>
      <w:r>
        <w:rPr>
          <w:i/>
          <w:sz w:val="20"/>
        </w:rPr>
        <w:t>Prepared for FinTech / Financial Analytics</w:t>
      </w:r>
    </w:p>
    <w:p>
      <w:pPr>
        <w:spacing w:before="100" w:after="40"/>
      </w:pPr>
      <w:r>
        <w:rPr>
          <w:b/>
          <w:sz w:val="24"/>
        </w:rPr>
        <w:t>1. Company Overview</w:t>
      </w:r>
    </w:p>
    <w:p>
      <w:pPr>
        <w:spacing w:after="80" w:line="240" w:lineRule="auto"/>
      </w:pPr>
      <w:r>
        <w:t>Cipla Limited is a major Indian pharmaceutical enterprise with a long-standing presence in healthcare. Founded in 1935, the company has developed from an Indian drug manufacturer into a diversified pharmaceutical business serving domestic and overseas markets. Its portfolio covers prescription medicines, generics, respiratory therapies, consumer healthcare products and active pharmaceutical ingredients.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Particular</w:t>
            </w:r>
          </w:p>
        </w:tc>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Details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Company</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Cipla Limited</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Established</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1935</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Founder</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Dr. K. A. Hamied</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Headquarters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Mumbai, Maharashtra</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NSE Symbol</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CIPLA</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BSE Code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500087</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Industry</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Pharmaceuticals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Face Value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 per share</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Corporate Purpose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Caring for Life</w:t>
            </w:r>
          </w:p>
        </w:tc>
      </w:tr>
    </w:tbl>
    <w:p>
      <w:pPr>
        <w:spacing w:before="100" w:after="40"/>
      </w:pPr>
      <w:r>
        <w:rPr>
          <w:b/>
          <w:sz w:val="24"/>
        </w:rPr>
        <w:t>2. Promoters and Leadership</w:t>
      </w:r>
    </w:p>
    <w:p>
      <w:pPr>
        <w:spacing w:after="80" w:line="240" w:lineRule="auto"/>
      </w:pPr>
      <w:r>
        <w:t>Cipla was founded by Dr. Khwaja Abdul Hamied and continues to have a strong association with the Hamied family. Dr. Y. K. Hamied is an important promoter and non-executive figure associated with the company. The promoter group has played a significant role in the company's long-term development and expansion.</w:t>
      </w:r>
    </w:p>
    <w:p>
      <w:pPr>
        <w:spacing w:after="80" w:line="240" w:lineRule="auto"/>
      </w:pPr>
      <w:r>
        <w:t>The company is professionally managed while retaining the promoter family's strategic association. This combination of promoter ownership and professional management supports continuity in the company's long-term business strategy.</w:t>
      </w:r>
    </w:p>
    <w:p>
      <w:pPr>
        <w:spacing w:before="100" w:after="40"/>
      </w:pPr>
      <w:r>
        <w:rPr>
          <w:b/>
          <w:sz w:val="24"/>
        </w:rPr>
        <w:t>3. Business Profile and Operating Segments</w:t>
      </w:r>
    </w:p>
    <w:p>
      <w:pPr>
        <w:spacing w:after="80" w:line="240" w:lineRule="auto"/>
      </w:pPr>
      <w:r>
        <w:t>Cipla earns its revenue through pharmaceutical products sold in India and international markets. Its operations are geographically diversified, which reduces dependence on a single market while also exposing the company to different regulatory and pricing environments.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Business Area</w:t>
            </w:r>
          </w:p>
        </w:tc>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Main Focus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One India</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Branded prescription medicines, trade generics and consumer healthcare</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North America</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Generic and complex medicines, including respiratory and inhalation products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One Africa</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Branded and generic medicines across South Africa and other African markets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Emerging Markets &amp; Europe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Pharmaceutical products across selected international markets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API Business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Active Pharmaceutical Ingredients used in medicine manufacturing</w:t>
            </w:r>
          </w:p>
        </w:tc>
      </w:tr>
    </w:tbl>
    <w:p>
      <w:pPr>
        <w:spacing w:after="80" w:line="240" w:lineRule="auto"/>
      </w:pPr>
      <w:r>
        <w:t>Respiratory healthcare is a particularly important strength for Cipla. The company has built a broad portfolio of inhalation and respiratory products and has established brands across several therapeutic areas.</w:t>
      </w:r>
    </w:p>
    <w:p>
      <w:pPr>
        <w:spacing w:before="100" w:after="40"/>
      </w:pPr>
      <w:r>
        <w:rPr>
          <w:b/>
          <w:sz w:val="24"/>
        </w:rPr>
        <w:t>4. Selected Brands and Therapeutic Areas</w:t>
      </w:r>
    </w:p>
    <w:p>
      <w:pPr>
        <w:spacing w:after="80" w:line="240" w:lineRule="auto"/>
      </w:pPr>
      <w:r>
        <w:t>Cipla's portfolio includes well-known products such as Foracort, Duolin, Budecort, Asthalin, Montair, Dytor, Urimax and Cipcal. The company also operates across chronic therapies, acute therapies, oncology, HIV/AIDS, consumer health and other pharmaceutical categories.</w:t>
      </w:r>
    </w:p>
    <w:p>
      <w:pPr>
        <w:spacing w:before="100" w:after="40"/>
      </w:pPr>
      <w:r>
        <w:rPr>
          <w:b/>
          <w:sz w:val="24"/>
        </w:rPr>
        <w:t>5. Financial Performance: FY 2024-25 vs FY 2025-26</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Particular</w:t>
            </w:r>
          </w:p>
        </w:tc>
        <w:tc>
          <w:tcPr>
            <w:tcW w:type="dxa" w:w="2592"/>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FY 2024-25</w:t>
            </w:r>
          </w:p>
        </w:tc>
        <w:tc>
          <w:tcPr>
            <w:tcW w:type="dxa" w:w="2592"/>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FY 2025-26</w:t>
            </w:r>
          </w:p>
        </w:tc>
        <w:tc>
          <w:tcPr>
            <w:tcW w:type="dxa" w:w="2592"/>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Change</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Revenue from Operations</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₹27,548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₹28,163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+2.23%</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EBITDA</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₹7,128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₹5,925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-16.9%</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Profit / PAT</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₹5,273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₹3,879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-26.4%</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Total Assets</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₹37,387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₹42,496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+13.7%</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Shareholders' Equity</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₹31,193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₹34,432 Cr</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+10.4%</w:t>
            </w:r>
          </w:p>
        </w:tc>
      </w:tr>
      <w:tr>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EPS</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₹65.29</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₹48.03</w:t>
            </w:r>
          </w:p>
        </w:tc>
        <w:tc>
          <w:tcPr>
            <w:tcW w:type="dxa" w:w="2592"/>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-26.4%</w:t>
            </w:r>
          </w:p>
        </w:tc>
      </w:tr>
    </w:tbl>
    <w:p>
      <w:pPr>
        <w:spacing w:before="100" w:after="40"/>
      </w:pPr>
      <w:r>
        <w:rPr>
          <w:b/>
          <w:sz w:val="24"/>
        </w:rPr>
        <w:t>6. Financial Performance Interpretation</w:t>
      </w:r>
    </w:p>
    <w:p>
      <w:pPr>
        <w:spacing w:after="80" w:line="240" w:lineRule="auto"/>
      </w:pPr>
      <w:r>
        <w:t>The year-on-year results show that Cipla expanded its revenue during FY 2025-26, but the growth in sales did not translate into higher profit. EBITDA fell by about 16.9% and profit declined by about 26.4%. This points to pressure on operating profitability during the year.</w:t>
      </w:r>
    </w:p>
    <w:p>
      <w:pPr>
        <w:spacing w:after="80" w:line="240" w:lineRule="auto"/>
      </w:pPr>
      <w:r>
        <w:t>At the same time, total assets and shareholders' equity increased. The increase in the company's asset and equity base indicates that the overall financial foundation remained substantial even though earnings were weaker than in the previous year.</w:t>
      </w:r>
    </w:p>
    <w:p>
      <w:pPr>
        <w:spacing w:before="100" w:after="40"/>
      </w:pPr>
      <w:r>
        <w:rPr>
          <w:b/>
          <w:sz w:val="24"/>
        </w:rPr>
        <w:t>7. Ratio Analysis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Category</w:t>
            </w:r>
          </w:p>
        </w:tc>
        <w:tc>
          <w:tcPr>
            <w:tcW w:type="dxa" w:w="207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Ratio / Indicator</w:t>
            </w:r>
          </w:p>
        </w:tc>
        <w:tc>
          <w:tcPr>
            <w:tcW w:type="dxa" w:w="207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FY25</w:t>
            </w:r>
          </w:p>
        </w:tc>
        <w:tc>
          <w:tcPr>
            <w:tcW w:type="dxa" w:w="207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FY26</w:t>
            </w:r>
          </w:p>
        </w:tc>
        <w:tc>
          <w:tcPr>
            <w:tcW w:type="dxa" w:w="207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Interpretation</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Liquidity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Current Ratio</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4.24x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3.44x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Liquidity reduced, but short-term coverage remained comfortable.</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Liquidity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Quick Ratio</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3.21x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2.50x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Quick assets continued to provide strong coverage of current liabilities.</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Efficiency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Inventory Turnover</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1.64x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1.56x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Inventory movement became slightly slower.</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Efficiency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Debtors Turnover</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5.36x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5.06x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Receivables efficiency declined modestly.</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Efficiency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Creditors Turnover</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3.36x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3.15x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Indicates a modest change in the working-capital cycle.</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Leverage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Debt-Equity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0.003x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0.007x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Debt increased slightly but leverage remained extremely low.</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Leverage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Debt-Assets</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0.25%</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0.61%</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Only a very small share of assets was financed through debt.</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Leverage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Interest Coverage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~97x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~87x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Coverage declined but remained very strong.</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Profitability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ROA</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15.22%</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9.85%</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Returns generated from assets declined.</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Profitability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ROCE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38.49%</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27.18%</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Capital efficiency decreased but remained strong.</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Profitability</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ROE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18.21%</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11.82%</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Return to equity holders declined substantially.</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Shareholder</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EPS</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₹65.29</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₹48.03</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Earnings per share fell by about 26.4%.</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Net Worth</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Book Value / Share</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₹386</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₹426</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Book value increased, reflecting higher net worth per share.</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Valuation</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P/B Ratio</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~3.2x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Market value was around 3.2 times book value.</w:t>
            </w:r>
          </w:p>
        </w:tc>
      </w:tr>
      <w:tr>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Valuation</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P/E Ratio</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~28.4x</w:t>
            </w:r>
          </w:p>
        </w:tc>
        <w:tc>
          <w:tcPr>
            <w:tcW w:type="dxa" w:w="207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Market price represented about 28 times annual earnings.</w:t>
            </w:r>
          </w:p>
        </w:tc>
      </w:tr>
    </w:tbl>
    <w:p>
      <w:pPr>
        <w:spacing w:before="100" w:after="40"/>
      </w:pPr>
      <w:r>
        <w:rPr>
          <w:b/>
          <w:sz w:val="24"/>
        </w:rPr>
        <w:t>8. Key Ratio Observations</w:t>
      </w:r>
    </w:p>
    <w:p>
      <w:pPr>
        <w:spacing w:after="80" w:line="240" w:lineRule="auto"/>
      </w:pPr>
      <w:r>
        <w:t>The liquidity ratios remained strong even after declining from FY25 to FY26. Cipla's debt levels remained very low, and its interest coverage was exceptionally high. These indicators suggest limited financial leverage and a strong ability to meet financial obligations.</w:t>
      </w:r>
    </w:p>
    <w:p>
      <w:pPr>
        <w:spacing w:after="80" w:line="240" w:lineRule="auto"/>
      </w:pPr>
      <w:r>
        <w:t>The main area of concern was profitability. ROA, ROCE, ROE and EPS all decreased during FY26. The decline in these measures is consistent with the fall in EBITDA and PAT and suggests that improving earnings efficiency is an important area for the company.</w:t>
      </w:r>
    </w:p>
    <w:p>
      <w:pPr>
        <w:spacing w:before="100" w:after="40"/>
      </w:pPr>
      <w:r>
        <w:rPr>
          <w:b/>
          <w:sz w:val="24"/>
        </w:rPr>
        <w:t>9. Share Price Performance</w:t>
      </w:r>
    </w:p>
    <w:p>
      <w:pPr>
        <w:spacing w:after="80" w:line="240" w:lineRule="auto"/>
      </w:pPr>
      <w:r>
        <w:t>Cipla's equity shares are traded on NSE and BSE. For an investment analysis, share-price performance should be considered separately from accounting performance because market prices also respond to investor expectations, pharmaceutical-sector conditions, interest rates and company-specific developments.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Period</w:t>
            </w:r>
          </w:p>
        </w:tc>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Approximate Price Return</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6 Months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+2.75%</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 Year</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-12.48%</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2 Years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Negative</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3 Years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Positive</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5 Years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Positive</w:t>
            </w:r>
          </w:p>
        </w:tc>
      </w:tr>
    </w:tbl>
    <w:p>
      <w:pPr>
        <w:spacing w:after="80" w:line="240" w:lineRule="auto"/>
      </w:pPr>
      <w:r>
        <w:t>Over a five-year period, the referenced analysis indicates an overall price gain of approximately 43.9%, equivalent to a price CAGR of about 7.6%, excluding dividends. Shorter periods show more variation, with the one-year return being negative while the six-month return was mildly positive.</w:t>
      </w:r>
    </w:p>
    <w:p>
      <w:pPr>
        <w:spacing w:before="100" w:after="40"/>
      </w:pPr>
      <w:r>
        <w:rPr>
          <w:b/>
          <w:sz w:val="24"/>
        </w:rPr>
        <w:t>10. SWOT Analysis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Strengths</w:t>
            </w:r>
          </w:p>
        </w:tc>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Weaknesses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Established pharmaceutical brand and long operating history</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Recent decline in profitability</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Strong respiratory portfolio</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Exposure to pricing pressure in generic markets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Low financial leverage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Earnings can vary with product and market conditions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Diversified domestic and international presence</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International operations involve additional regulatory complexity</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Opportunities</w:t>
            </w:r>
          </w:p>
        </w:tc>
        <w:tc>
          <w:tcPr>
            <w:tcW w:type="dxa" w:w="5184"/>
            <w:vAlign w:val="center"/>
            <w:shd w:fill="D9EAF7"/>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rPr>
                <w:b/>
              </w:rPr>
              <w:t>Threats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Expansion of chronic and specialty therapies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Strong competition in pharmaceutical markets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Growth in emerging markets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Regulatory and compliance risks</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Respiratory and complex products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Pricing pressure and generic competition</w:t>
            </w:r>
          </w:p>
        </w:tc>
      </w:tr>
      <w:tr>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Use of technology and AI to improve operations</w:t>
            </w:r>
          </w:p>
        </w:tc>
        <w:tc>
          <w:tcPr>
            <w:tcW w:type="dxa" w:w="5184"/>
            <w:vAlign w:val="cente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Pr>
          <w:p>
            <w:pPr>
              <w:spacing w:after="0" w:before="0"/>
            </w:pPr>
            <w:r>
              <w:t>Currency and international-market risks</w:t>
            </w:r>
          </w:p>
        </w:tc>
      </w:tr>
    </w:tbl>
    <w:p>
      <w:pPr>
        <w:spacing w:before="100" w:after="40"/>
      </w:pPr>
      <w:r>
        <w:rPr>
          <w:b/>
          <w:sz w:val="24"/>
        </w:rPr>
        <w:t>11. Overall Assessment</w:t>
      </w:r>
    </w:p>
    <w:p>
      <w:pPr>
        <w:spacing w:after="80" w:line="240" w:lineRule="auto"/>
      </w:pPr>
      <w:r>
        <w:t>Cipla's financial position remains supported by high liquidity, very low debt and a diversified pharmaceutical business. Its revenue continued to grow in FY26 and its asset and equity base expanded. However, the decline in EBITDA, PAT and key profitability ratios indicates that the company faced a meaningful reduction in earnings efficiency during the year.</w:t>
      </w:r>
    </w:p>
    <w:p>
      <w:pPr>
        <w:spacing w:after="80" w:line="240" w:lineRule="auto"/>
      </w:pPr>
      <w:r>
        <w:t>From an investor's perspective, Cipla combines established brands, a strong respiratory franchise, international diversification and a relatively conservative capital structure. At the same time, the recent decline in profitability and the movement in its market price show why both financial fundamentals and valuation should be considered before drawing an investment conclusion.</w:t>
      </w:r>
    </w:p>
    <w:p>
      <w:pPr>
        <w:spacing w:before="100" w:after="40"/>
      </w:pPr>
      <w:r>
        <w:rPr>
          <w:b/>
          <w:sz w:val="24"/>
        </w:rPr>
        <w:t>12. Conclusion</w:t>
      </w:r>
    </w:p>
    <w:p>
      <w:pPr>
        <w:spacing w:after="80" w:line="240" w:lineRule="auto"/>
      </w:pPr>
      <w:r>
        <w:t>Cipla Limited represents an established pharmaceutical company with a broad product portfolio and operations across India and international markets. The FY25-FY26 comparison shows a company that continued to grow its revenue and financial base, while experiencing pressure on profitability.</w:t>
      </w:r>
    </w:p>
    <w:p>
      <w:pPr>
        <w:spacing w:after="80" w:line="240" w:lineRule="auto"/>
      </w:pPr>
      <w:r>
        <w:t>The ratio analysis highlights strong liquidity and very low leverage, but weaker returns on assets, capital and equity. The stock-performance analysis also indicates that returns vary considerably across investment horizons. Overall, Cipla has a strong underlying business foundation, while improving profitability and maintaining sustainable growth remain important for its future financial performance.</w:t>
      </w:r>
    </w:p>
    <w:p>
      <w:pPr>
        <w:spacing w:before="100" w:after="40"/>
      </w:pPr>
      <w:r>
        <w:rPr>
          <w:b/>
          <w:sz w:val="24"/>
        </w:rPr>
        <w:t>13. References</w:t>
      </w:r>
    </w:p>
    <w:p>
      <w:pPr>
        <w:spacing w:after="80" w:line="240" w:lineRule="auto"/>
      </w:pPr>
      <w:r>
        <w:t>1. Cipla Limited Annual Report and corporate disclosures, FY 2025-26.</w:t>
        <w:br/>
        <w:t>2. Cipla Limited Annual Report, FY 2024-25.</w:t>
        <w:br/>
        <w:t>3. National Stock Exchange of India (NSE) – Cipla market data.</w:t>
        <w:br/>
        <w:t>4. BSE Limited – Cipla market data.</w:t>
        <w:br/>
        <w:t>5. Cipla Limited official corporate website.</w:t>
      </w:r>
    </w:p>
    <w:sectPr w:rsidR="00FC693F" w:rsidRPr="0006063C" w:rsidSect="00034616">
      <w:pgSz w:w="12240" w:h="15840"/>
      <w:pgMar w:top="792" w:right="936" w:bottom="792" w:left="936" w:header="720" w:footer="720" w:gutter="0"/>
      <w:cols w:space="720"/>
      <w:docGrid w:linePitch="360"/>
      <w:pgBorders w:offsetFrom="page">
        <w:top w:val="single" w:sz="14" w:space="18" w:color="000000"/>
        <w:left w:val="single" w:sz="14" w:space="18" w:color="000000"/>
        <w:bottom w:val="single" w:sz="14" w:space="18" w:color="000000"/>
        <w:right w:val="single" w:sz="14"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