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60A855"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905D4D" w14:paraId="551300AE" w14:textId="77777777" w:rsidTr="00024E80">
        <w:trPr>
          <w:jc w:val="center"/>
        </w:trPr>
        <w:tc>
          <w:tcPr>
            <w:tcW w:w="1458" w:type="dxa"/>
          </w:tcPr>
          <w:p w14:paraId="2F592D78" w14:textId="77777777" w:rsidR="00905D4D" w:rsidRPr="00286D28" w:rsidRDefault="00905D4D" w:rsidP="00905D4D">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41F38668" w:rsidR="00905D4D" w:rsidRPr="00286D28" w:rsidRDefault="00905D4D" w:rsidP="00905D4D">
            <w:pPr>
              <w:jc w:val="center"/>
              <w:rPr>
                <w:rFonts w:ascii="Times New Roman" w:hAnsi="Times New Roman" w:cs="Times New Roman"/>
              </w:rPr>
            </w:pPr>
            <w:r w:rsidRPr="00905D4D">
              <w:rPr>
                <w:rFonts w:ascii="Times New Roman" w:hAnsi="Times New Roman" w:cs="Times New Roman"/>
              </w:rPr>
              <w:t>2420030415</w:t>
            </w:r>
          </w:p>
        </w:tc>
        <w:tc>
          <w:tcPr>
            <w:tcW w:w="5528" w:type="dxa"/>
          </w:tcPr>
          <w:p w14:paraId="1E62F30D" w14:textId="555B7D07" w:rsidR="00905D4D" w:rsidRPr="00286D28" w:rsidRDefault="00905D4D" w:rsidP="00905D4D">
            <w:pPr>
              <w:jc w:val="center"/>
              <w:rPr>
                <w:rFonts w:ascii="Times New Roman" w:hAnsi="Times New Roman" w:cs="Times New Roman"/>
              </w:rPr>
            </w:pPr>
            <w:r>
              <w:rPr>
                <w:rFonts w:ascii="Times New Roman" w:hAnsi="Times New Roman" w:cs="Times New Roman"/>
              </w:rPr>
              <w:t xml:space="preserve"> </w:t>
            </w:r>
            <w:r w:rsidRPr="00905D4D">
              <w:rPr>
                <w:rFonts w:ascii="Times New Roman" w:hAnsi="Times New Roman" w:cs="Times New Roman"/>
              </w:rPr>
              <w:t>G.</w:t>
            </w:r>
            <w:r>
              <w:rPr>
                <w:rFonts w:ascii="Times New Roman" w:hAnsi="Times New Roman" w:cs="Times New Roman"/>
              </w:rPr>
              <w:t xml:space="preserve"> </w:t>
            </w:r>
            <w:r w:rsidRPr="00905D4D">
              <w:rPr>
                <w:rFonts w:ascii="Times New Roman" w:hAnsi="Times New Roman" w:cs="Times New Roman"/>
              </w:rPr>
              <w:t>Rithwik</w:t>
            </w:r>
          </w:p>
        </w:tc>
      </w:tr>
      <w:tr w:rsidR="00905D4D" w14:paraId="75723645" w14:textId="77777777" w:rsidTr="00024E80">
        <w:trPr>
          <w:jc w:val="center"/>
        </w:trPr>
        <w:tc>
          <w:tcPr>
            <w:tcW w:w="1458" w:type="dxa"/>
          </w:tcPr>
          <w:p w14:paraId="550DED93" w14:textId="77777777" w:rsidR="00905D4D" w:rsidRPr="00286D28" w:rsidRDefault="00905D4D" w:rsidP="00905D4D">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1CEC52C6" w:rsidR="00905D4D" w:rsidRPr="00286D28" w:rsidRDefault="00905D4D" w:rsidP="00905D4D">
            <w:pPr>
              <w:jc w:val="center"/>
              <w:rPr>
                <w:rFonts w:ascii="Times New Roman" w:hAnsi="Times New Roman" w:cs="Times New Roman"/>
              </w:rPr>
            </w:pPr>
            <w:r w:rsidRPr="00905D4D">
              <w:rPr>
                <w:rFonts w:ascii="Times New Roman" w:hAnsi="Times New Roman" w:cs="Times New Roman"/>
              </w:rPr>
              <w:t>2420030505</w:t>
            </w:r>
          </w:p>
        </w:tc>
        <w:tc>
          <w:tcPr>
            <w:tcW w:w="5528" w:type="dxa"/>
          </w:tcPr>
          <w:p w14:paraId="07662A52" w14:textId="31D85860" w:rsidR="00905D4D" w:rsidRPr="00905D4D" w:rsidRDefault="00905D4D" w:rsidP="00905D4D">
            <w:pPr>
              <w:ind w:left="360"/>
              <w:rPr>
                <w:rFonts w:ascii="Times New Roman" w:hAnsi="Times New Roman" w:cs="Times New Roman"/>
              </w:rPr>
            </w:pPr>
            <w:r>
              <w:rPr>
                <w:rFonts w:ascii="Times New Roman" w:hAnsi="Times New Roman" w:cs="Times New Roman"/>
              </w:rPr>
              <w:t xml:space="preserve">                              A.</w:t>
            </w:r>
            <w:r w:rsidRPr="00905D4D">
              <w:rPr>
                <w:rFonts w:ascii="Times New Roman" w:hAnsi="Times New Roman" w:cs="Times New Roman"/>
              </w:rPr>
              <w:t xml:space="preserve"> </w:t>
            </w:r>
            <w:r w:rsidRPr="00905D4D">
              <w:rPr>
                <w:rFonts w:ascii="Times New Roman" w:hAnsi="Times New Roman" w:cs="Times New Roman"/>
              </w:rPr>
              <w:t>Nikitha</w:t>
            </w:r>
          </w:p>
        </w:tc>
      </w:tr>
      <w:tr w:rsidR="00905D4D" w14:paraId="25B630B8" w14:textId="77777777" w:rsidTr="00024E80">
        <w:trPr>
          <w:jc w:val="center"/>
        </w:trPr>
        <w:tc>
          <w:tcPr>
            <w:tcW w:w="1458" w:type="dxa"/>
          </w:tcPr>
          <w:p w14:paraId="3998F4E5" w14:textId="77777777" w:rsidR="00905D4D" w:rsidRPr="00286D28" w:rsidRDefault="00905D4D" w:rsidP="00905D4D">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23E198BD" w:rsidR="00905D4D" w:rsidRPr="00286D28" w:rsidRDefault="00905D4D" w:rsidP="00905D4D">
            <w:pPr>
              <w:jc w:val="center"/>
              <w:rPr>
                <w:rFonts w:ascii="Times New Roman" w:hAnsi="Times New Roman" w:cs="Times New Roman"/>
              </w:rPr>
            </w:pPr>
            <w:r w:rsidRPr="00905D4D">
              <w:rPr>
                <w:rFonts w:ascii="Times New Roman" w:hAnsi="Times New Roman" w:cs="Times New Roman"/>
              </w:rPr>
              <w:t>2420030584</w:t>
            </w:r>
          </w:p>
        </w:tc>
        <w:tc>
          <w:tcPr>
            <w:tcW w:w="5528" w:type="dxa"/>
          </w:tcPr>
          <w:p w14:paraId="2C21BF57" w14:textId="65563117" w:rsidR="00905D4D" w:rsidRPr="00286D28" w:rsidRDefault="00905D4D" w:rsidP="00905D4D">
            <w:pPr>
              <w:jc w:val="center"/>
              <w:rPr>
                <w:rFonts w:ascii="Times New Roman" w:hAnsi="Times New Roman" w:cs="Times New Roman"/>
              </w:rPr>
            </w:pPr>
            <w:r w:rsidRPr="00905D4D">
              <w:rPr>
                <w:rFonts w:ascii="Times New Roman" w:hAnsi="Times New Roman" w:cs="Times New Roman"/>
              </w:rPr>
              <w:t>V</w:t>
            </w:r>
            <w:r>
              <w:rPr>
                <w:rFonts w:ascii="Times New Roman" w:hAnsi="Times New Roman" w:cs="Times New Roman"/>
              </w:rPr>
              <w:t>.</w:t>
            </w:r>
            <w:r w:rsidRPr="00905D4D">
              <w:rPr>
                <w:rFonts w:ascii="Times New Roman" w:hAnsi="Times New Roman" w:cs="Times New Roman"/>
              </w:rPr>
              <w:t xml:space="preserve"> Sraavya</w:t>
            </w:r>
          </w:p>
        </w:tc>
      </w:tr>
      <w:tr w:rsidR="00905D4D" w14:paraId="7587B6C2" w14:textId="77777777" w:rsidTr="00024E80">
        <w:trPr>
          <w:jc w:val="center"/>
        </w:trPr>
        <w:tc>
          <w:tcPr>
            <w:tcW w:w="1458" w:type="dxa"/>
          </w:tcPr>
          <w:p w14:paraId="5977BA97" w14:textId="77777777" w:rsidR="00905D4D" w:rsidRPr="00286D28" w:rsidRDefault="00905D4D" w:rsidP="00905D4D">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905D4D" w:rsidRPr="00286D28" w:rsidRDefault="00905D4D" w:rsidP="00905D4D">
            <w:pPr>
              <w:jc w:val="center"/>
              <w:rPr>
                <w:rFonts w:ascii="Times New Roman" w:hAnsi="Times New Roman" w:cs="Times New Roman"/>
              </w:rPr>
            </w:pPr>
          </w:p>
        </w:tc>
        <w:tc>
          <w:tcPr>
            <w:tcW w:w="5528" w:type="dxa"/>
          </w:tcPr>
          <w:p w14:paraId="2548D107" w14:textId="77777777" w:rsidR="00905D4D" w:rsidRPr="00286D28" w:rsidRDefault="00905D4D" w:rsidP="00905D4D">
            <w:pPr>
              <w:jc w:val="center"/>
              <w:rPr>
                <w:rFonts w:ascii="Times New Roman" w:hAnsi="Times New Roman" w:cs="Times New Roman"/>
              </w:rPr>
            </w:pPr>
          </w:p>
        </w:tc>
      </w:tr>
      <w:tr w:rsidR="00905D4D" w14:paraId="24DF3F22" w14:textId="77777777" w:rsidTr="00024E80">
        <w:trPr>
          <w:jc w:val="center"/>
        </w:trPr>
        <w:tc>
          <w:tcPr>
            <w:tcW w:w="4435" w:type="dxa"/>
            <w:gridSpan w:val="2"/>
          </w:tcPr>
          <w:p w14:paraId="727B19AC" w14:textId="77777777" w:rsidR="00905D4D" w:rsidRPr="00286D28" w:rsidRDefault="00905D4D" w:rsidP="00905D4D">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424E35BD" w:rsidR="00905D4D" w:rsidRPr="00024E80" w:rsidRDefault="00905D4D" w:rsidP="00905D4D">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1BE736A9" w14:textId="77777777" w:rsidR="00BB3E46" w:rsidRPr="00BB3E46" w:rsidRDefault="00BB3E46" w:rsidP="00BB3E46">
      <w:pPr>
        <w:spacing w:after="0" w:line="360" w:lineRule="auto"/>
        <w:ind w:left="-360"/>
        <w:jc w:val="both"/>
        <w:rPr>
          <w:rFonts w:ascii="Times New Roman" w:hAnsi="Times New Roman" w:cs="Times New Roman"/>
          <w:lang w:val="en-IN"/>
        </w:rPr>
      </w:pPr>
      <w:r w:rsidRPr="00BB3E46">
        <w:rPr>
          <w:rFonts w:ascii="Times New Roman" w:hAnsi="Times New Roman" w:cs="Times New Roman"/>
          <w:lang w:val="en-IN"/>
        </w:rPr>
        <w:t xml:space="preserve">Organ transplantation is a critical healthcare process that provides patients with a chance of survival when their organs are severely damaged or no longer functioning. The success of transplantation depends on the timely availability of suitable organs, accurate donor and recipient information, proper compatibility assessment, efficient allocation, and coordination among hospitals, transplant </w:t>
      </w:r>
      <w:proofErr w:type="spellStart"/>
      <w:r w:rsidRPr="00BB3E46">
        <w:rPr>
          <w:rFonts w:ascii="Times New Roman" w:hAnsi="Times New Roman" w:cs="Times New Roman"/>
          <w:lang w:val="en-IN"/>
        </w:rPr>
        <w:t>centers</w:t>
      </w:r>
      <w:proofErr w:type="spellEnd"/>
      <w:r w:rsidRPr="00BB3E46">
        <w:rPr>
          <w:rFonts w:ascii="Times New Roman" w:hAnsi="Times New Roman" w:cs="Times New Roman"/>
          <w:lang w:val="en-IN"/>
        </w:rPr>
        <w:t>, medical teams, and authorized personnel. Traditional organ donation and transplantation management processes may involve disconnected systems, manual coordination, delayed communication, and difficulties in maintaining up-to-date donor and recipient records. These challenges can affect the speed and efficiency of organ allocation and may reduce the effectiveness of the overall transplantation workflow. Therefore, there is a need for a secure, centralized, and efficient digital platform that can support the complete organ donation and transplantation management process.</w:t>
      </w:r>
    </w:p>
    <w:p w14:paraId="1028ABEB" w14:textId="77777777" w:rsidR="00BB3E46" w:rsidRPr="00BB3E46" w:rsidRDefault="00BB3E46" w:rsidP="00BB3E46">
      <w:pPr>
        <w:spacing w:after="0" w:line="360" w:lineRule="auto"/>
        <w:ind w:left="-360"/>
        <w:jc w:val="both"/>
        <w:rPr>
          <w:rFonts w:ascii="Times New Roman" w:hAnsi="Times New Roman" w:cs="Times New Roman"/>
          <w:lang w:val="en-IN"/>
        </w:rPr>
      </w:pPr>
      <w:r w:rsidRPr="00BB3E46">
        <w:rPr>
          <w:rFonts w:ascii="Times New Roman" w:hAnsi="Times New Roman" w:cs="Times New Roman"/>
          <w:lang w:val="en-IN"/>
        </w:rPr>
        <w:t xml:space="preserve">To address this need, the proposed LifeBridge Smart Organ Transplant System is a service-oriented healthcare platform designed to digitally manage and coordinate organ donation, recipient registration, organ availability, compatibility assessment, and transplant allocation activities. The system provides a structured platform where donors, recipients, hospitals, transplant coordinators, and administrators </w:t>
      </w:r>
      <w:r w:rsidRPr="00BB3E46">
        <w:rPr>
          <w:rFonts w:ascii="Times New Roman" w:hAnsi="Times New Roman" w:cs="Times New Roman"/>
          <w:lang w:val="en-IN"/>
        </w:rPr>
        <w:lastRenderedPageBreak/>
        <w:t>can interact with appropriate access permissions. Donor information and organ availability can be securely recorded, while recipient information and transplant requirements can be maintained for efficient matching and allocation. The system is intended to improve coordination, reduce manual effort, and provide timely information to authorized users involved in the transplantation process.</w:t>
      </w:r>
    </w:p>
    <w:p w14:paraId="03580488" w14:textId="77777777" w:rsidR="00BB3E46" w:rsidRPr="00BB3E46" w:rsidRDefault="00BB3E46" w:rsidP="00BB3E46">
      <w:pPr>
        <w:spacing w:after="0" w:line="360" w:lineRule="auto"/>
        <w:ind w:left="-360"/>
        <w:jc w:val="both"/>
        <w:rPr>
          <w:rFonts w:ascii="Times New Roman" w:hAnsi="Times New Roman" w:cs="Times New Roman"/>
          <w:lang w:val="en-IN"/>
        </w:rPr>
      </w:pPr>
      <w:r w:rsidRPr="00BB3E46">
        <w:rPr>
          <w:rFonts w:ascii="Times New Roman" w:hAnsi="Times New Roman" w:cs="Times New Roman"/>
          <w:lang w:val="en-IN"/>
        </w:rPr>
        <w:t>The proposed system follows a microservices-based Service-Oriented Architecture (SOA) in which the major functionalities are separated into independent and manageable services. The system can include services such as User and Authentication Service, Donor Management Service, Recipient Management Service, Organ Management Service, Matching and Allocation Service, and Notification Service. Each service is responsible for a specific business function and can communicate with other services through RESTful APIs. This approach improves modularity, scalability, maintainability, and flexibility while allowing individual services to be developed, tested, and deployed independently.</w:t>
      </w:r>
    </w:p>
    <w:p w14:paraId="62B284AF" w14:textId="77777777" w:rsidR="00BB3E46" w:rsidRPr="00BB3E46" w:rsidRDefault="00BB3E46" w:rsidP="00BB3E46">
      <w:pPr>
        <w:spacing w:after="0" w:line="360" w:lineRule="auto"/>
        <w:ind w:left="-360"/>
        <w:jc w:val="both"/>
        <w:rPr>
          <w:rFonts w:ascii="Times New Roman" w:hAnsi="Times New Roman" w:cs="Times New Roman"/>
          <w:lang w:val="en-IN"/>
        </w:rPr>
      </w:pPr>
      <w:r w:rsidRPr="00BB3E46">
        <w:rPr>
          <w:rFonts w:ascii="Times New Roman" w:hAnsi="Times New Roman" w:cs="Times New Roman"/>
          <w:lang w:val="en-IN"/>
        </w:rPr>
        <w:t>The User and Authentication Service manages user registration, login, JWT-based authentication, and role-based authorization for different users such as administrators, hospitals, transplant coordinators, donors, and recipients. The Donor Management Service maintains donor registration, donor information, consent details, and donation-related records. The Recipient Management Service manages recipient profiles, medical requirements, urgency information, and transplant eligibility details. The Organ Management Service maintains information about available organs, organ type, status, availability, and associated donor information. The Matching and Allocation Service supports the identification of potentially suitable organs for registered recipients based on relevant compatibility and priority information. The Notification Service provides alerts and updates to authorized users regarding important events such as organ availability, potential matches, allocation decisions, and workflow updates.</w:t>
      </w:r>
    </w:p>
    <w:p w14:paraId="75991F03" w14:textId="77777777" w:rsidR="00BB3E46" w:rsidRPr="00BB3E46" w:rsidRDefault="00BB3E46" w:rsidP="00BB3E46">
      <w:pPr>
        <w:spacing w:after="0" w:line="360" w:lineRule="auto"/>
        <w:ind w:left="-360"/>
        <w:jc w:val="both"/>
        <w:rPr>
          <w:rFonts w:ascii="Times New Roman" w:hAnsi="Times New Roman" w:cs="Times New Roman"/>
          <w:lang w:val="en-IN"/>
        </w:rPr>
      </w:pPr>
      <w:r w:rsidRPr="00BB3E46">
        <w:rPr>
          <w:rFonts w:ascii="Times New Roman" w:hAnsi="Times New Roman" w:cs="Times New Roman"/>
          <w:lang w:val="en-IN"/>
        </w:rPr>
        <w:t>Security and reliability are important components of the proposed system because it handles sensitive healthcare-related information. The platform incorporates authentication and role-based authorization to restrict access to appropriate users. API communication between services can be managed through a Spring Cloud Gateway, while Eureka Service Discovery can be used for service registration and communication. Each microservice can maintain its own database according to the database-per-service approach, reducing dependency between individual services. REST APIs can be tested using Postman, while unit and integration testing can be performed to verify the reliability of individual services and their interactions.</w:t>
      </w:r>
    </w:p>
    <w:p w14:paraId="0E47B672" w14:textId="77777777" w:rsidR="00BB3E46" w:rsidRPr="00BB3E46" w:rsidRDefault="00BB3E46" w:rsidP="00BB3E46">
      <w:pPr>
        <w:spacing w:after="0" w:line="360" w:lineRule="auto"/>
        <w:ind w:left="-360"/>
        <w:jc w:val="both"/>
        <w:rPr>
          <w:rFonts w:ascii="Times New Roman" w:hAnsi="Times New Roman" w:cs="Times New Roman"/>
          <w:lang w:val="en-IN"/>
        </w:rPr>
      </w:pPr>
      <w:r w:rsidRPr="00BB3E46">
        <w:rPr>
          <w:rFonts w:ascii="Times New Roman" w:hAnsi="Times New Roman" w:cs="Times New Roman"/>
          <w:lang w:val="en-IN"/>
        </w:rPr>
        <w:lastRenderedPageBreak/>
        <w:t>Overall, the LifeBridge Smart Organ Transplant System aims to provide a scalable, secure, and efficient digital solution for organ donation and transplantation management. By combining healthcare workflow management with SOA principles and microservices architecture, the system can improve information sharing, reduce manual coordination, support faster identification of suitable organ-recipient combinations, and provide a structured platform for transplant-related activities. The proposed architecture also allows the system to be extended in the future with advanced analytics, intelligent matching techniques, real-time monitoring, and integration with external healthcare systems.</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363CE0A5" w:rsidR="00024E80" w:rsidRPr="00024E80" w:rsidRDefault="00BB3E46" w:rsidP="00024E80">
      <w:pPr>
        <w:spacing w:after="0" w:line="360" w:lineRule="auto"/>
        <w:ind w:left="-360"/>
        <w:jc w:val="center"/>
        <w:rPr>
          <w:b/>
          <w:bCs/>
        </w:rPr>
      </w:pPr>
      <w:r>
        <w:rPr>
          <w:b/>
          <w:bCs/>
          <w:noProof/>
        </w:rPr>
        <w:drawing>
          <wp:inline distT="0" distB="0" distL="0" distR="0" wp14:anchorId="5882F9C6" wp14:editId="0F1ED76A">
            <wp:extent cx="6961034" cy="4625340"/>
            <wp:effectExtent l="0" t="0" r="0" b="3810"/>
            <wp:docPr id="1736478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80368" cy="4638187"/>
                    </a:xfrm>
                    <a:prstGeom prst="rect">
                      <a:avLst/>
                    </a:prstGeom>
                    <a:noFill/>
                  </pic:spPr>
                </pic:pic>
              </a:graphicData>
            </a:graphic>
          </wp:inline>
        </w:drawing>
      </w:r>
      <w:r>
        <w:rPr>
          <w:noProof/>
        </w:rPr>
        <mc:AlternateContent>
          <mc:Choice Requires="wps">
            <w:drawing>
              <wp:inline distT="0" distB="0" distL="0" distR="0" wp14:anchorId="1E0F4A61" wp14:editId="1F1055CE">
                <wp:extent cx="304800" cy="304800"/>
                <wp:effectExtent l="0" t="0" r="0" b="0"/>
                <wp:docPr id="1369663570" name="Rectangle 2" descr="LifeBridge Organ Transplant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B2763" id="Rectangle 2" o:spid="_x0000_s1026" alt="LifeBridge Organ Transplant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5729B"/>
    <w:multiLevelType w:val="hybridMultilevel"/>
    <w:tmpl w:val="D0640D4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984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6574E7"/>
    <w:rsid w:val="00715340"/>
    <w:rsid w:val="00905D4D"/>
    <w:rsid w:val="009924FC"/>
    <w:rsid w:val="00994114"/>
    <w:rsid w:val="00BB3E46"/>
    <w:rsid w:val="00BD59CC"/>
    <w:rsid w:val="00E30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nikitha7030@outlook.com</cp:lastModifiedBy>
  <cp:revision>2</cp:revision>
  <dcterms:created xsi:type="dcterms:W3CDTF">2026-08-13T16:41:00Z</dcterms:created>
  <dcterms:modified xsi:type="dcterms:W3CDTF">2026-08-13T16:41:00Z</dcterms:modified>
</cp:coreProperties>
</file>