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3789" w:rsidRPr="00EC3789" w:rsidRDefault="00EC3789" w:rsidP="00EC3789">
      <w:pPr>
        <w:rPr>
          <w:rFonts w:ascii="Verdana" w:hAnsi="Verdana"/>
        </w:rPr>
      </w:pPr>
      <w:bookmarkStart w:id="0" w:name="_GoBack"/>
      <w:bookmarkEnd w:id="0"/>
    </w:p>
    <w:p w:rsidR="00EC3789" w:rsidRPr="00EC3789" w:rsidRDefault="00EC3789" w:rsidP="00EC3789">
      <w:pPr>
        <w:jc w:val="center"/>
        <w:rPr>
          <w:rFonts w:ascii="Verdana" w:hAnsi="Verdana"/>
        </w:rPr>
      </w:pPr>
      <w:r w:rsidRPr="00EC3789">
        <w:rPr>
          <w:rFonts w:ascii="Verdana" w:hAnsi="Verdana"/>
        </w:rPr>
        <w:t>Supreme Court of Texas.</w:t>
      </w:r>
    </w:p>
    <w:p w:rsidR="00EC3789" w:rsidRPr="00EC3789" w:rsidRDefault="00EC3789" w:rsidP="00EC3789">
      <w:pPr>
        <w:jc w:val="center"/>
        <w:rPr>
          <w:rFonts w:ascii="Verdana" w:hAnsi="Verdana"/>
        </w:rPr>
      </w:pPr>
      <w:r w:rsidRPr="00EC3789">
        <w:rPr>
          <w:rFonts w:ascii="Verdana" w:hAnsi="Verdana"/>
        </w:rPr>
        <w:t>WEST FORK ADVISORS, LLC, Petitioner,</w:t>
      </w:r>
    </w:p>
    <w:p w:rsidR="00EC3789" w:rsidRPr="00EC3789" w:rsidRDefault="00EC3789" w:rsidP="00EC3789">
      <w:pPr>
        <w:jc w:val="center"/>
        <w:rPr>
          <w:rFonts w:ascii="Verdana" w:hAnsi="Verdana"/>
        </w:rPr>
      </w:pPr>
      <w:r w:rsidRPr="00EC3789">
        <w:rPr>
          <w:rFonts w:ascii="Verdana" w:hAnsi="Verdana"/>
        </w:rPr>
        <w:t>v.</w:t>
      </w:r>
    </w:p>
    <w:p w:rsidR="00EC3789" w:rsidRPr="00EC3789" w:rsidRDefault="00EC3789" w:rsidP="00EC3789">
      <w:pPr>
        <w:jc w:val="center"/>
        <w:rPr>
          <w:rFonts w:ascii="Verdana" w:hAnsi="Verdana"/>
        </w:rPr>
      </w:pPr>
      <w:r w:rsidRPr="00EC3789">
        <w:rPr>
          <w:rFonts w:ascii="Verdana" w:hAnsi="Verdana"/>
        </w:rPr>
        <w:t xml:space="preserve">SUNGARD CONSULTING SERVICES, LLC &amp; </w:t>
      </w:r>
      <w:proofErr w:type="spellStart"/>
      <w:r w:rsidRPr="00EC3789">
        <w:rPr>
          <w:rFonts w:ascii="Verdana" w:hAnsi="Verdana"/>
        </w:rPr>
        <w:t>Sungard</w:t>
      </w:r>
      <w:proofErr w:type="spellEnd"/>
      <w:r w:rsidRPr="00EC3789">
        <w:rPr>
          <w:rFonts w:ascii="Verdana" w:hAnsi="Verdana"/>
        </w:rPr>
        <w:t xml:space="preserve"> Investment Systems, LLC, Respondents.</w:t>
      </w:r>
    </w:p>
    <w:p w:rsidR="00EC3789" w:rsidRPr="00EC3789" w:rsidRDefault="00EC3789" w:rsidP="00EC3789">
      <w:pPr>
        <w:jc w:val="center"/>
        <w:rPr>
          <w:rFonts w:ascii="Verdana" w:hAnsi="Verdana"/>
        </w:rPr>
      </w:pPr>
      <w:r w:rsidRPr="00EC3789">
        <w:rPr>
          <w:rFonts w:ascii="Verdana" w:hAnsi="Verdana"/>
        </w:rPr>
        <w:t>No. 14-0735.</w:t>
      </w:r>
    </w:p>
    <w:p w:rsidR="00EC3789" w:rsidRPr="00EC3789" w:rsidRDefault="00EC3789" w:rsidP="00EC3789">
      <w:pPr>
        <w:jc w:val="center"/>
        <w:rPr>
          <w:rFonts w:ascii="Verdana" w:hAnsi="Verdana"/>
        </w:rPr>
      </w:pPr>
      <w:r w:rsidRPr="00EC3789">
        <w:rPr>
          <w:rFonts w:ascii="Verdana" w:hAnsi="Verdana"/>
        </w:rPr>
        <w:t>May 20, 2015.</w:t>
      </w:r>
    </w:p>
    <w:p w:rsidR="00EC3789" w:rsidRPr="00EC3789" w:rsidRDefault="00EC3789" w:rsidP="00EC3789">
      <w:pPr>
        <w:jc w:val="center"/>
        <w:rPr>
          <w:rFonts w:ascii="Verdana" w:hAnsi="Verdana"/>
        </w:rPr>
      </w:pPr>
    </w:p>
    <w:p w:rsidR="00EC3789" w:rsidRPr="00EC3789" w:rsidRDefault="00EC3789" w:rsidP="00EC3789">
      <w:pPr>
        <w:rPr>
          <w:rFonts w:ascii="Verdana" w:hAnsi="Verdana"/>
        </w:rPr>
      </w:pPr>
      <w:r w:rsidRPr="00EC3789">
        <w:rPr>
          <w:rFonts w:ascii="Verdana" w:hAnsi="Verdana"/>
        </w:rPr>
        <w:t>On Petition for Review from the Court of Appeals for the Fifth District of Texas</w:t>
      </w:r>
    </w:p>
    <w:p w:rsidR="00EC3789" w:rsidRPr="00EC3789" w:rsidRDefault="00EC3789" w:rsidP="00EC3789">
      <w:pPr>
        <w:rPr>
          <w:rFonts w:ascii="Verdana" w:hAnsi="Verdana"/>
        </w:rPr>
      </w:pPr>
      <w:r w:rsidRPr="00EC3789">
        <w:rPr>
          <w:rFonts w:ascii="Verdana" w:hAnsi="Verdana"/>
        </w:rPr>
        <w:t>Respondents’ Brief on the Merits</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 xml:space="preserve">Ronald E. </w:t>
      </w:r>
      <w:proofErr w:type="spellStart"/>
      <w:r w:rsidRPr="00EC3789">
        <w:rPr>
          <w:rFonts w:ascii="Verdana" w:hAnsi="Verdana"/>
        </w:rPr>
        <w:t>Manthey</w:t>
      </w:r>
      <w:proofErr w:type="spellEnd"/>
      <w:r w:rsidRPr="00EC3789">
        <w:rPr>
          <w:rFonts w:ascii="Verdana" w:hAnsi="Verdana"/>
        </w:rPr>
        <w:t xml:space="preserve">, Counsel of Record, Texas Bar No. 12927400, </w:t>
      </w:r>
      <w:proofErr w:type="spellStart"/>
      <w:r w:rsidRPr="00EC3789">
        <w:rPr>
          <w:rFonts w:ascii="Verdana" w:hAnsi="Verdana"/>
        </w:rPr>
        <w:t>ron.manthey</w:t>
      </w:r>
      <w:proofErr w:type="spellEnd"/>
      <w:r w:rsidRPr="00EC3789">
        <w:rPr>
          <w:rFonts w:ascii="Verdana" w:hAnsi="Verdana"/>
        </w:rPr>
        <w:t xml:space="preserve"> @morganlewis.com, Allyson N. Ho, Texas Bar No. 24033667, </w:t>
      </w:r>
      <w:proofErr w:type="spellStart"/>
      <w:r w:rsidRPr="00EC3789">
        <w:rPr>
          <w:rFonts w:ascii="Verdana" w:hAnsi="Verdana"/>
        </w:rPr>
        <w:t>aho</w:t>
      </w:r>
      <w:proofErr w:type="spellEnd"/>
      <w:r w:rsidRPr="00EC3789">
        <w:rPr>
          <w:rFonts w:ascii="Verdana" w:hAnsi="Verdana"/>
        </w:rPr>
        <w:t xml:space="preserve"> @morganlewis.com, John C. Sullivan, Texas Bar No. 24083920, </w:t>
      </w:r>
      <w:proofErr w:type="spellStart"/>
      <w:r w:rsidRPr="00EC3789">
        <w:rPr>
          <w:rFonts w:ascii="Verdana" w:hAnsi="Verdana"/>
        </w:rPr>
        <w:t>john.sullivan</w:t>
      </w:r>
      <w:proofErr w:type="spellEnd"/>
      <w:r w:rsidRPr="00EC3789">
        <w:rPr>
          <w:rFonts w:ascii="Verdana" w:hAnsi="Verdana"/>
        </w:rPr>
        <w:t xml:space="preserve"> @morganlewis.com, Morgan, Lewis &amp; Bockius LLP, 1717 Main Street, Suite 3200, Dallas, Texas 75201, 214-466-4000, 214-466-4001 (fax), for respondents.</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 xml:space="preserve"> IDENTITY OF PARTIES AND COUNSEL</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Petitioner:</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West Fork Advisors, LLC</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Counsel for Petitioner:</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Greg White 4300 West Waco Drive Suite B2-283 Waco, Texas 76710</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Joe Rivera Robert Little NAMAN HOWELL SMITH &amp; LEE PLLC.O. Box 1470 400 Austin Avenue, Suite 800 Waco, Texas 76703</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Michael Lewis Trey Mayfield THE LEWIS FIRM PPLC 901 New York Avenue, NW, Suite 450 Washington, DC 20001</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Respondents:</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SunGard Consulting Services, LLC &amp; SunGard Investment Systems, LLC</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Counsel for Respondents:</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lastRenderedPageBreak/>
        <w:t xml:space="preserve">Ronald E. </w:t>
      </w:r>
      <w:proofErr w:type="spellStart"/>
      <w:r w:rsidRPr="00EC3789">
        <w:rPr>
          <w:rFonts w:ascii="Verdana" w:hAnsi="Verdana"/>
        </w:rPr>
        <w:t>Manthey</w:t>
      </w:r>
      <w:proofErr w:type="spellEnd"/>
      <w:r w:rsidRPr="00EC3789">
        <w:rPr>
          <w:rFonts w:ascii="Verdana" w:hAnsi="Verdana"/>
        </w:rPr>
        <w:t xml:space="preserve"> Allyson N. Ho John C. Sullivan MORGAN, LEWIS &amp; BOCKIUS LLP 1717 Main Street, Suite 3200 Dallas, Texas 75201</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pStyle w:val="Heading1"/>
      </w:pPr>
      <w:r w:rsidRPr="00EC3789">
        <w:t>STATEMENT OF THE CASE</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Nature of the Case:</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ab/>
        <w:t>This is a business case involving substantive claims of misappropriation of trade secrets and conversion, and derivative claims of conspiracy and aiding-and-abetting.</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Trial Court:</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ab/>
        <w:t xml:space="preserve">The Honorable Ken </w:t>
      </w:r>
      <w:proofErr w:type="spellStart"/>
      <w:r w:rsidRPr="00EC3789">
        <w:rPr>
          <w:rFonts w:ascii="Verdana" w:hAnsi="Verdana"/>
        </w:rPr>
        <w:t>Molberg</w:t>
      </w:r>
      <w:proofErr w:type="spellEnd"/>
      <w:r w:rsidRPr="00EC3789">
        <w:rPr>
          <w:rFonts w:ascii="Verdana" w:hAnsi="Verdana"/>
        </w:rPr>
        <w:t>, 95th Judicial District Court, Dallas County.</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Trial Court Disposition:</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ab/>
        <w:t>The trial court granted summary judgment in favor of respondents SunGard Consulting Services, LLC, and SunGard Investment Systems, LLC (together “SunGard”) on all claims.</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Parties in Court of Appeals:</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ab/>
        <w:t>Appellant: West Fork Advisors, LLC</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ab/>
        <w:t>Appellees: SunGard</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Court of Appeals:</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ab/>
        <w:t>Fifth Court of Appeals at Dallas, Texas.</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Court of Appeals’ Disposition:</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lastRenderedPageBreak/>
        <w:tab/>
        <w:t>The court of appeals affirmed summary judgment in a unanimous opinion authored by Justice Lewis and joined by Justices Fillmore and Evans.</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p>
    <w:p w:rsidR="00EC3789" w:rsidRPr="00EC3789" w:rsidRDefault="00EC3789" w:rsidP="00EC3789">
      <w:pPr>
        <w:rPr>
          <w:rFonts w:ascii="Verdana" w:hAnsi="Verdana"/>
        </w:rPr>
      </w:pPr>
    </w:p>
    <w:p w:rsidR="00EC3789" w:rsidRPr="00EC3789" w:rsidRDefault="00EC3789" w:rsidP="00EC3789">
      <w:pPr>
        <w:pStyle w:val="Heading1"/>
      </w:pPr>
      <w:r w:rsidRPr="00EC3789">
        <w:t>STATEMENT OF JURISDICTION</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The Court lacks jurisdiction under Texas Government Code §§ 22.001(a)(2) &amp; (a)(6) because the Fifth Court’s decision does not conflict with that of any other court of appeals or this Court and because the court of appeals committed no error of law, much less one of such importance to the jurisprudence of the State that it requires correction by this Court.</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pStyle w:val="Heading1"/>
      </w:pPr>
      <w:r w:rsidRPr="00EC3789">
        <w:t>ISSUES PRESENTED</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1. Whether the court of appeals correctly affirmed summary judgment on plaintiff’s conspiracy and aiding-and-abetting claims because plaintiff is unable to establish as a matter of law that that any named defendant is liable for an underlying tort.</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2. Whether the court of appeals correctly affirmed summary judgment because business disputes like this one do not involve the type of highly dangerous, physically harmful behavior Texas courts have required for aiding-and-abetting liability.</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3. Alternatively, whether summary judgment may be affirmed because the record demonstrates both that the evidence for plaintiff’s claims was lacking and that defendants produced undisputed evidence that conclusively disproved essential elements in each of plaintiff’s claims.</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pStyle w:val="Heading1"/>
      </w:pPr>
      <w:r w:rsidRPr="00EC3789">
        <w:t>INTRODUCTION</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 xml:space="preserve">The Fifth Court’s unanimous decision in this garden-variety business dispute implicates no conflict, commits no error, and provides no other reason for this Court’s review. Indeed, the petition cites no case actually adopting the position plaintiff urges this Court to adopt. That is not surprising, as plaintiff seeks to establish a new rule in Texas whereby a party can settle with a tortfeasor and then sue an alleged “conspirator” separately for damages - all without including the alleged </w:t>
      </w:r>
      <w:r w:rsidRPr="00EC3789">
        <w:rPr>
          <w:rFonts w:ascii="Verdana" w:hAnsi="Verdana"/>
        </w:rPr>
        <w:lastRenderedPageBreak/>
        <w:t>“conspirator” in the initial suit, as one would expect if the conspirator had actually caused harm. Not only is plaintiff’s new rule contrary to Texas law (and to plain common sense), but the decision below is also further supported by multiple, independent grounds for affirmance that were recognized but not reached by the court of appeals. The petition should be denied and the judgment below should be affirmed.</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pStyle w:val="Heading1"/>
      </w:pPr>
      <w:r w:rsidRPr="00EC3789">
        <w:t>STATEMENT OF FACTS</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Petitioner West Fork Advisors, LLC developed a computer program - called the Multi-Asset Acquisition Program (“MAAP”)-to allow individual investors the opportunity to invest in assets from which they were often excluded because of the size of the transactions. West Fork Advisors, LLC v. SunGard Consulting Servs., LLC, 437 S.W.3d 917, 918 (Tex. App. - Dallas 2014, pet. filed). West Fork’s principals, David Gunderson and Steve Smith, hired respondents SunGard *4 Consulting Services, LLC, and SunGard Investment Systems, LLC (together “SunGard”) to help develop MAAP. Id. Pursuant to a contract with West Fork, SunGard provided millions of dollars in services to develop computer software for MAAP. Id.75 million of which remains unpaid. Id. at 919. The agreement was signed for West Fork by Smith. R.861, 887.</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A company called Privity Financial, LLC was set up to hold and market MAAP. West Fork Advisors, 437 S.W.3d at 918-19. That company was run by Smith, who served as SunGard’s point of contact for the agreement. One month after the first contract with West Fork was signed, SunGard and Privity signed the second schedule of the contract. Compare R.874 (noting Schedule No. 1 of contract signed with West Fork on April 1, 2010), with R.888 (noting Schedule No. 2 of same contract signed with Privity on May 12, 2010). Notably, the May 12 document was “made part of the Professional Services Agreement between the parties dated as of April 1, 2010” indication that Privity was the controlling interest moving forward. R.888. It also showed Smith as the Chairman of Privity. R.906.</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 xml:space="preserve">According to Gunderson, West Fork never expected to pay SunGard directly for its fees. R.723 (Gunderson Dep. at 89-90). Gunderson evidently expected Smith’s brother to pay the fees for Privity on behalf of West Fork, even though there was no agreement between them to do so and even though Gunderson *5 admitted that Smith’s brother was never a part of West Fork. R.722-23.1 Out of this uncertainty, issues arose between Gunderson and Smith over control of Privity. </w:t>
      </w:r>
      <w:r w:rsidRPr="00EC3789">
        <w:rPr>
          <w:rFonts w:ascii="Verdana" w:hAnsi="Verdana"/>
        </w:rPr>
        <w:lastRenderedPageBreak/>
        <w:t>West Fork Advisors, 437 S.W.3d at 919. Specifically, West Fork claims that Smith secretly named himself as Privity’s sole owner, and that he attempted to exploit his control of Privity to gain control of MAAP. Id.2 West Fork never claimed that SunGard was involved in these activities and brought no action against SunGard for the same.</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Ultimately, Smith resigned from any entities owned or controlled by Gunderson and informed SunGard that it should consider Privity (not West Fork) as its customer. Id. Smith resigned in August, several months after SunGard had contracted with Smith and Privity. Id. After the falling out between Smith and Gunderson, West Fork sued Smith and Privity, alleging claims of fraud, breach of fiduciary duty, and breach of contract, and seeking an accounting along with an injunction prohibiting Smith and Privity from further developing MAAP. Id. *6 West Fork made no allegations of any improper conduct against SunGard and did not join SunGard in the case. Id.</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West Fork nonsuited its lawsuit, and Smith and Privity sued West Fork, seeking a declaration that Smith owned Privity. Id. West Fork filed counterclaims for breach of fiduciary duty, aiding and abetting that breach, and theft under the Texas Theft Liability Act. West Fork’s counterclaims did not allege any wrongdoing by SunGard or seek to join them as a defendant. Id.</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West Fork and Privity ultimately reached a settlement giving both West Fork and Privity the right to develop MAAP technology. Id. As the litigation wound its way through the courts, however, SunGard was not paid for its work by either West Fork or Privity, and ultimately stopped work on the project as a result of the nonpayment. Id. Even after the settlement allowing both parties to own the technology, neither party paid for SunGard’s development of the product.</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Consequently, MAAP never went forward, Privity declared bankruptcy, and West Fork sued SunGard - alleging only then that SunGard had played a role in “steal [</w:t>
      </w:r>
      <w:proofErr w:type="spellStart"/>
      <w:r w:rsidRPr="00EC3789">
        <w:rPr>
          <w:rFonts w:ascii="Verdana" w:hAnsi="Verdana"/>
        </w:rPr>
        <w:t>ing</w:t>
      </w:r>
      <w:proofErr w:type="spellEnd"/>
      <w:r w:rsidRPr="00EC3789">
        <w:rPr>
          <w:rFonts w:ascii="Verdana" w:hAnsi="Verdana"/>
        </w:rPr>
        <w:t>]” MAAP, a product for which West Fork never paid. Id. After several amendments, West Fork’s pleading alleged five business tort claims: misappropriation of trade secrets, theft under the Theft Liability Act, conversion, unfair competition, and breach of fiduciary duty. Id. Although West Fork alleged that SunGard aided and abetted and conspired with Privity and Smith in *7 committing the alleged torts, West Fork did not name Privity and Smith as defendants in the current lawsuit. Id.</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lastRenderedPageBreak/>
        <w:t>SunGard moved for traditional and no-evidence summary judgment on multiple grounds. Id. The day before the summary judgment hearing, West Fork dropped its Theft Liability Act claims. Id. After the hearing, the trial court granted summary judgment to SunGard on both no-evidence and traditional grounds, dismissed all of West Fork’s claims, and awarded SunGard attorneys’ fees. Id.; see also R.630-97 (no-evidence and traditional motions for summary judgment).</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As relevant here, West Fork appealed summary judgment only as to its conspiracy and aiding-and-abetting claims. West Fork Advisors, 437 S.W.3d at 920-21. A unanimous panel of the Fifth Court affirmed. Id. at 918.</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First, as to conspiracy, the court of appeals applied this Court’s rule that “[c]</w:t>
      </w:r>
      <w:proofErr w:type="spellStart"/>
      <w:r w:rsidRPr="00EC3789">
        <w:rPr>
          <w:rFonts w:ascii="Verdana" w:hAnsi="Verdana"/>
        </w:rPr>
        <w:t>onspiracy</w:t>
      </w:r>
      <w:proofErr w:type="spellEnd"/>
      <w:r w:rsidRPr="00EC3789">
        <w:rPr>
          <w:rFonts w:ascii="Verdana" w:hAnsi="Verdana"/>
        </w:rPr>
        <w:t xml:space="preserve"> is a derivative tort because ‘a defendant’s liability for conspiracy depends on participation in some underlying tort for which the plaintiff seeks to hold at least one of the named defendants liable.”’ Id. at 920 (citing Tilton v. Marshall, 925 S.W.2d 672, 681 (Tex. 1996)). “In this case,” the court of appeals explained, “West Fork has not challenged the trial court’s dismissal of its claims that SunGard itself committed misappropriation of trade secrets and conversion.” Id. Nor did West Fork name Smith and Privity “as defendants in this case so that *8 their purported liability could be adjudged by the trial court.” Id. at 921. “Accordingly,” the court of appeals held, “West Fork is unable to establish that any named defendant is liable for an underlying tort,” and its conspiracy claim must therefore fail as a matter of law. Id. (citing Tilton, 925 S.W.2d at 681, among other cases).</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Second, as to aiding and abetting, the court of appeals noted that this Court “has specifically dealt with aiding and abetting - as it has dealt with conspiracy - as a ‘dependent’ claim, which is ‘premised on’ an underlying tort.” Id. (quoting Ernst &amp; Young, L.L.P. v. Pac. Mut. Life Ins., 51 S.W.3d 573, 583 (Tex. 2001)). Thus, the court of appeals explained, “when an underlying tort fails, there can be neither a conspiracy claim nor an aiding and abetting claim related to that failed tort.” Id. (citing Ernst &amp; Young, 51 S.W.3d at 583). Accordingly, the court of appeals held, “West Fork’s failure to establish independent tort liability against any named defendant is fatal to its aiding and abetting claims as well as its conspiracy claims.” Id. And that is assuming Texas law even “recognizes a cause of action for aiding and abetting” misappropriation of trade secrets in the first instance. Id. at 921 n.3.</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lastRenderedPageBreak/>
        <w:t xml:space="preserve">Additionally, the court of appeals reasoned, “even if West Fork’s claims were viable, they would not fall within the ambit of a claim for aiding and abetting.” Id. at 921. That is because, the court of appeals explained, under this *9 Court’s cases, aiding-and-abetting liability “has a specific and narrow purpose: to deter antisocial or dangerous behavior.” Id. at 921-22 (observing that this Court “has described the type of conduct implicated by aiding and abetting as ‘highly dangerous, deviant, or anti-social group activity which [is] likely to cause serious injury or death to a person or certain harm to a large number of people”’ (quoting </w:t>
      </w:r>
      <w:proofErr w:type="spellStart"/>
      <w:r w:rsidRPr="00EC3789">
        <w:rPr>
          <w:rFonts w:ascii="Verdana" w:hAnsi="Verdana"/>
        </w:rPr>
        <w:t>Juhl</w:t>
      </w:r>
      <w:proofErr w:type="spellEnd"/>
      <w:r w:rsidRPr="00EC3789">
        <w:rPr>
          <w:rFonts w:ascii="Verdana" w:hAnsi="Verdana"/>
        </w:rPr>
        <w:t xml:space="preserve"> v. </w:t>
      </w:r>
      <w:proofErr w:type="spellStart"/>
      <w:r w:rsidRPr="00EC3789">
        <w:rPr>
          <w:rFonts w:ascii="Verdana" w:hAnsi="Verdana"/>
        </w:rPr>
        <w:t>Airington</w:t>
      </w:r>
      <w:proofErr w:type="spellEnd"/>
      <w:r w:rsidRPr="00EC3789">
        <w:rPr>
          <w:rFonts w:ascii="Verdana" w:hAnsi="Verdana"/>
        </w:rPr>
        <w:t>, 936 S.W.2d 640, 645 (Tex. 1996))).</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Because West Fork’s allegations against Smith and Privity involve the misappropriation of trade secrets - and not “dangerous or deviant or antisocial” behavior the court of appeals held in the alternative that “even if West Fork could establish liability for an underlying tort in this case ... [,] the type of liability it seeks to impose derivatively would not fall within the scope of the tort of aiding and abetting[,]” and SunGard was entitled to summary judgment on the aiding-and-abetting claim for that reason, too. Id. at 922.</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pStyle w:val="Heading1"/>
      </w:pPr>
      <w:r w:rsidRPr="00EC3789">
        <w:t>SUMMARY OF ARGUMENT</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I. Texas law is clear that to prevail on a derivative claim like conspiracy or aiding and abetting, a plaintiff must, at a minimum, plead an underlying tort against a named defendant. Ernst &amp; Young, 51 S.W.3d at 583; Tilton, 925 S.W.2d at 681. Because no such underlying tort was pled here, summary judgment was properly granted to SunGard on West Fork’s conspiracy and aiding-and-abetting claims. There is no split of authority on the issue, and no reason - much less a *10 sufficiently compelling one - for this Court to expend scarce judicial resources revisiting (much less disturbing) long-settled law that is correct.</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 xml:space="preserve">II. Moreover, as this Court has observed, in Texas aiding-and-abetting liability has only been imposed very narrowly on “highly dangerous, deviant, or anti-social group activity which was likely to cause serious injury or death to a person or certain harm to a large group of people.” </w:t>
      </w:r>
      <w:proofErr w:type="spellStart"/>
      <w:r w:rsidRPr="00EC3789">
        <w:rPr>
          <w:rFonts w:ascii="Verdana" w:hAnsi="Verdana"/>
        </w:rPr>
        <w:t>Juhl</w:t>
      </w:r>
      <w:proofErr w:type="spellEnd"/>
      <w:r w:rsidRPr="00EC3789">
        <w:rPr>
          <w:rFonts w:ascii="Verdana" w:hAnsi="Verdana"/>
        </w:rPr>
        <w:t>, 936 S.W.2d at 645. West Fork’s allegations of misappropriated trade secrets do not come close to satisfying that standard. Petitioner identifies no split on the issue much less any compelling legal or policy reason for this Court to upset that settled precedent.</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lastRenderedPageBreak/>
        <w:t>III. In addition, multiple independent, alternative grounds support the judgment below. The trial court ruled in favor of SunGard on multiple issues not reached by the court of appeals, but amply supported by the record. Further review at this point will only result in further proceedings - not a change in the outcome of the case. Accordingly, the petition should be denied and the judgment below should be affirmed.</w:t>
      </w:r>
    </w:p>
    <w:p w:rsidR="00EC3789" w:rsidRPr="00EC3789" w:rsidRDefault="00EC3789" w:rsidP="00EC3789">
      <w:pPr>
        <w:rPr>
          <w:rFonts w:ascii="Verdana" w:hAnsi="Verdana"/>
        </w:rPr>
      </w:pPr>
      <w:r w:rsidRPr="00EC3789">
        <w:rPr>
          <w:rFonts w:ascii="Verdana" w:hAnsi="Verdana"/>
        </w:rPr>
        <w:t xml:space="preserve"> </w:t>
      </w:r>
    </w:p>
    <w:p w:rsidR="00EC3789" w:rsidRDefault="00EC3789" w:rsidP="00EC3789">
      <w:pPr>
        <w:pStyle w:val="Heading1"/>
      </w:pPr>
      <w:r w:rsidRPr="00EC3789">
        <w:t>ARGUMENT</w:t>
      </w:r>
    </w:p>
    <w:p w:rsidR="00EC3789" w:rsidRPr="00EC3789" w:rsidRDefault="00EC3789" w:rsidP="00EC3789"/>
    <w:p w:rsidR="00EC3789" w:rsidRPr="00EC3789" w:rsidRDefault="00EC3789" w:rsidP="00EC3789">
      <w:pPr>
        <w:pStyle w:val="Heading1"/>
        <w:numPr>
          <w:ilvl w:val="0"/>
          <w:numId w:val="2"/>
        </w:numPr>
      </w:pPr>
      <w:r w:rsidRPr="00EC3789">
        <w:t>Conspiracy And Aiding-And-Abetting Claims Require Pleading And Proof Of An Underlying Tort Against A Named Defendant.</w:t>
      </w:r>
    </w:p>
    <w:p w:rsidR="00EC3789" w:rsidRPr="00EC3789" w:rsidRDefault="00EC3789" w:rsidP="00EC3789">
      <w:pPr>
        <w:pStyle w:val="ListParagraph"/>
        <w:ind w:left="1080"/>
        <w:rPr>
          <w:rFonts w:ascii="Verdana" w:hAnsi="Verdana"/>
        </w:rPr>
      </w:pPr>
    </w:p>
    <w:p w:rsidR="00EC3789" w:rsidRDefault="00EC3789" w:rsidP="00EC3789">
      <w:pPr>
        <w:pStyle w:val="Heading1"/>
        <w:numPr>
          <w:ilvl w:val="0"/>
          <w:numId w:val="4"/>
        </w:numPr>
      </w:pPr>
      <w:r w:rsidRPr="00EC3789">
        <w:t>Unanimous Precedent Correctly Rejects West Fork’s Argument.</w:t>
      </w:r>
    </w:p>
    <w:p w:rsidR="00EC3789" w:rsidRPr="00EC3789" w:rsidRDefault="00EC3789" w:rsidP="00EC3789">
      <w:pPr>
        <w:pStyle w:val="ListParagraph"/>
        <w:rPr>
          <w:rFonts w:ascii="Verdana" w:hAnsi="Verdana"/>
        </w:rPr>
      </w:pPr>
    </w:p>
    <w:p w:rsidR="00EC3789" w:rsidRDefault="00EC3789" w:rsidP="00EC3789">
      <w:pPr>
        <w:rPr>
          <w:rFonts w:ascii="Verdana" w:hAnsi="Verdana"/>
        </w:rPr>
      </w:pPr>
      <w:r w:rsidRPr="00EC3789">
        <w:rPr>
          <w:rFonts w:ascii="Verdana" w:hAnsi="Verdana"/>
        </w:rPr>
        <w:t>Nearly 20 years ago, this Court observed that unless a plaintiff pleads and proves an underlying tort against a named defendant, any claims for conspiracy *11 and aiding and abetting must fail. See Tilton, 925 S.W.2d at 681; see also Ernst &amp; Young, 51 S.W.3d at 583. Since then, the courts of appeals have consistently applied that rule.3</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Given the unbroken line of authority following this Court’s Tilton decision, it is hardly surprising that the petition fails to cite even a single case in which any Texas court has allowed a plaintiff to pursue either a conspiracy or an aiding-and-abetting claim without also pleading an underlying tort against a named defendant - and we are aware of none. That is for good reason, as the very nature of derivative offenses such as conspiracy and aiding and abetting depend upon an underlying tort.4 Indeed, a case West Fork cites in its favor - Wingert - expressly agrees with the proposition that without establishing liability for an underlying *12 tort, there can be no liability for conspiracy. See 2010 WL 3271744, at *6-7 (citing Tilton, 925 S.W.2d at 681, among other cases). The court of appeals’ decision in this case is thus consistent with this Court’s cases and those of every other Texas court of appeals to have addressed the issue.5</w:t>
      </w:r>
    </w:p>
    <w:p w:rsidR="00EC3789" w:rsidRPr="00EC3789" w:rsidRDefault="00EC3789" w:rsidP="00EC3789">
      <w:pPr>
        <w:rPr>
          <w:rFonts w:ascii="Verdana" w:hAnsi="Verdana"/>
        </w:rPr>
      </w:pPr>
      <w:r w:rsidRPr="00EC3789">
        <w:rPr>
          <w:rFonts w:ascii="Verdana" w:hAnsi="Verdana"/>
        </w:rPr>
        <w:t xml:space="preserve"> </w:t>
      </w:r>
    </w:p>
    <w:p w:rsidR="00EC3789" w:rsidRDefault="00EC3789" w:rsidP="00EC3789">
      <w:pPr>
        <w:pStyle w:val="Heading1"/>
        <w:numPr>
          <w:ilvl w:val="0"/>
          <w:numId w:val="4"/>
        </w:numPr>
      </w:pPr>
      <w:r w:rsidRPr="00EC3789">
        <w:lastRenderedPageBreak/>
        <w:t>The Courts Are Legally Correct To Require Proof Of An Underlying Tort Against A Named Defendant.</w:t>
      </w:r>
    </w:p>
    <w:p w:rsidR="00EC3789" w:rsidRPr="00EC3789" w:rsidRDefault="00EC3789" w:rsidP="00EC3789">
      <w:pPr>
        <w:pStyle w:val="ListParagraph"/>
      </w:pPr>
    </w:p>
    <w:p w:rsidR="00EC3789" w:rsidRPr="00EC3789" w:rsidRDefault="00EC3789" w:rsidP="00EC3789">
      <w:pPr>
        <w:rPr>
          <w:rFonts w:ascii="Verdana" w:hAnsi="Verdana"/>
        </w:rPr>
      </w:pPr>
      <w:r w:rsidRPr="00EC3789">
        <w:rPr>
          <w:rFonts w:ascii="Verdana" w:hAnsi="Verdana"/>
        </w:rPr>
        <w:t xml:space="preserve">This Court in Tilton was right in formulating the general rule that the court of appeals correctly applied in this case. An essential element of each tort pled by West Fork is that a defendant must have engaged in the complained-of conduct. See, e.g., Green Int’l, Inc. v. Solis, 951 S.W.2d 384, 391 (Tex. 1997) (conversion); BP Auto., L.P. v. RML Waxahachie Dodge, L.L.C., 448 S.W.3d 562, 573 (Tex. App. - Houston [1st Dist.] 2014, no pet.) (unfair competition or common law misappropriation); Twister B.V. v. Newton Research Partners, LP, 364 S.W.3d 428, 437 (Tex. App. - Dallas 2012, no pet.) (misappropriation of trade secrets); Plotkin v. </w:t>
      </w:r>
      <w:proofErr w:type="spellStart"/>
      <w:r w:rsidRPr="00EC3789">
        <w:rPr>
          <w:rFonts w:ascii="Verdana" w:hAnsi="Verdana"/>
        </w:rPr>
        <w:t>Joekel</w:t>
      </w:r>
      <w:proofErr w:type="spellEnd"/>
      <w:r w:rsidRPr="00EC3789">
        <w:rPr>
          <w:rFonts w:ascii="Verdana" w:hAnsi="Verdana"/>
        </w:rPr>
        <w:t>, 304 S.W.3d 455, 479 (Tex. App.-Houston [1st Dist.] 2009, pet. denied) (breach of fiduciary duty).</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 xml:space="preserve">Given that essential element of an underlying tort, which is necessary for its claims of conspiracy and aiding and abetting, West Fork must prove that a named *13 defendant engaged in tortious action. See, e.g., Allstate Ins. Co. v. Receivable Fin. Co., 501 F.3d 398, 414 (5th Cir. 2007) (Texas law) (recognizing that unless at least one defendant can be held liable for fraud, co-defendants cannot be held liable for conspiracy); Walsh v. Am. ‘s Tele-Network Corp., 195 F. Supp. 2d 840, 850-51 (E.D. Tex. 2002) (same) (citing Grizzle v. Tex. Commerce Bank, 38 S.W.3d 265, 285 (Tex. App. - Dallas 2001, </w:t>
      </w:r>
      <w:proofErr w:type="spellStart"/>
      <w:r w:rsidRPr="00EC3789">
        <w:rPr>
          <w:rFonts w:ascii="Verdana" w:hAnsi="Verdana"/>
        </w:rPr>
        <w:t>rev’d</w:t>
      </w:r>
      <w:proofErr w:type="spellEnd"/>
      <w:r w:rsidRPr="00EC3789">
        <w:rPr>
          <w:rFonts w:ascii="Verdana" w:hAnsi="Verdana"/>
        </w:rPr>
        <w:t xml:space="preserve"> in part on other grounds sub nom. Tex. Commerce Bank v. Grizzle, 96 S.W.3d 240 (Tex. 2002))). This it has not done, and cannot do. Every instance offered by West Fork purportedly to the contrary overlooks the differences between conspiracy and other torts - and every rule cited by West Fork is misread.</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 xml:space="preserve">First, West Fork cites (at 14-16) examples of other situations - such as partnership, </w:t>
      </w:r>
      <w:proofErr w:type="spellStart"/>
      <w:r w:rsidRPr="00EC3789">
        <w:rPr>
          <w:rFonts w:ascii="Verdana" w:hAnsi="Verdana"/>
        </w:rPr>
        <w:t>respondeat</w:t>
      </w:r>
      <w:proofErr w:type="spellEnd"/>
      <w:r w:rsidRPr="00EC3789">
        <w:rPr>
          <w:rFonts w:ascii="Verdana" w:hAnsi="Verdana"/>
        </w:rPr>
        <w:t xml:space="preserve"> superior, and persons who control securities sellers - where Texas law recognizes “derivative liability.” In each of those situations, however, vicarious liability flows from the close relationship between the parties - and in two of those situations (partnership and securities law) vicarious liability is expressly recognized by statute. See Bedford v. Moore, 166 S.W.3d 454, 460 (Tex. App. - Worth 2005, no pet.). In all of those situations involving derivative liability, it makes sense to have one defendant stand in the shoes of another to answer for liability because they are all responsible for the same liability. That is *14 not so with conspiracy and aiding-and-abetting claims - as a result, any expansion of liability in this context must be carefully cabined to avoid abuse.6</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lastRenderedPageBreak/>
        <w:t>Second, West Fork argues (at 17) that Texas Rule of Civil Procedure 278 allows a court to submit any questions to the jury that are raised by the pleadings, even if the questions involve causes of action for which there is no defendant allegedly responsible. Rule 278, however, does not provide for determining the liability of non-parties; it is simply a procedural mechanism for submitting questions to the jury. See Tex. R. Civ. P. 278. West Fork cites no cases (and we are aware of none) holding that a court may submit a question to a jury asking it to determine liability for a tort that was never pled against a named defendant. That is not surprising, given that such a rule would sharply contradict the cases discussed above (at 11-13) that, for good reason, require a plaintiff to prove that a defendant actually engaged in the allegedly tortious action.</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 xml:space="preserve">Third, West Fork contends (at 18) that Texas Civil Practice &amp; Remedies Code § 33.003 allows a trier of fact to determine the liability of settling persons and responsible third parties. This is incorrect, though, as § 33.003 allows the factfinder to determine the “percentage of responsibility” for a cause of action pled by the plaintiff, but does not provide a mechanism for holding those parties liable. *15 See Tex. Civ. </w:t>
      </w:r>
      <w:proofErr w:type="spellStart"/>
      <w:r w:rsidRPr="00EC3789">
        <w:rPr>
          <w:rFonts w:ascii="Verdana" w:hAnsi="Verdana"/>
        </w:rPr>
        <w:t>Prac</w:t>
      </w:r>
      <w:proofErr w:type="spellEnd"/>
      <w:r w:rsidRPr="00EC3789">
        <w:rPr>
          <w:rFonts w:ascii="Verdana" w:hAnsi="Verdana"/>
        </w:rPr>
        <w:t>. &amp; Rem. Code § 33.003(a); id. § 33.004(</w:t>
      </w:r>
      <w:proofErr w:type="spellStart"/>
      <w:r w:rsidRPr="00EC3789">
        <w:rPr>
          <w:rFonts w:ascii="Verdana" w:hAnsi="Verdana"/>
        </w:rPr>
        <w:t>i</w:t>
      </w:r>
      <w:proofErr w:type="spellEnd"/>
      <w:r w:rsidRPr="00EC3789">
        <w:rPr>
          <w:rFonts w:ascii="Verdana" w:hAnsi="Verdana"/>
        </w:rPr>
        <w:t>) (“[A] finding of fault against the person [designated as a responsible third party]... does not by itself impose liability on the person...”) And the proportionate responsibility scheme of § 33 only applies to tort-based causes of action “in which a defendant, settling person, or responsible third party is found responsible for a percentage of the harm for which relief is sought.” Id. § 33.002(a)(1). In conflict with § 33’s plain text, however, West Fork now desires a factfinder to determine the liability of a party who is not a named defendant, has not entered into a settlement with the plaintiff, and was not previously designated as a responsible third party by a defendant.</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 xml:space="preserve">Fourth, West Fork’s argument (at 18) that the court of appeals’ decision in this case impermissibly revives the abolished “unity of release” rule is easily dispatched. The court of appeals’ decision does nothing of the sort, as it would still allow a plaintiff pursuing a derivative claim to settle with one tortfeasor and pursue others. It only prohibits - properly so - plaintiff from settling with all the tortfeasors and leaving only alleged conspirators as defendants. That result hardly revives the “unity of release” rule. Nor does it create (as West Fork argues at 19-21) a new rule under which persons responsible for the tort underlying a derivative claim are indispensable parties. It simply (and correctly) applies well-established law that a plaintiff asserting a conspiracy claim must plead and prove the existence of an underlying </w:t>
      </w:r>
      <w:r w:rsidRPr="00EC3789">
        <w:rPr>
          <w:rFonts w:ascii="Verdana" w:hAnsi="Verdana"/>
        </w:rPr>
        <w:lastRenderedPageBreak/>
        <w:t>tort, including naming at least one defendant who is *16 purportedly responsible for each tort. Again, conspiracy is not like other instances of joint and several liability because it expands liability for an act separate from the underlying tort that also must be proven.</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Finally, there is no conflict with Rule 39 because all of the pertinent factors weigh in favor of deeming underlying tortfeasors as indispensable parties in civil conspiracy cases. Specifically, a judgment rendered in the absence of at least one tortfeasor would substantially prejudice the alleged conspirators by forcing them to defend the actions of someone who may have actually committed a tort but with whom they have little to no relationship. Tex. R. Civ. P. 39(b). This makes it even more difficult for the alleged conspirator to prove that no tort took place in the absence of the tortfeasor.7 Such prejudice cannot be cured by protective provisions in the judgment, the shaping of relief, or other measures. Id. A judgment rendered in the absence of the tortfeasor would also be inadequate as there would be no way for the court to establish liability for the underlying tort. Id. And the plaintiff would likely have an adequate remedy even if the action were dismissed for non-joinder. Id.</w:t>
      </w:r>
    </w:p>
    <w:p w:rsidR="00EC3789" w:rsidRPr="00EC3789" w:rsidRDefault="00EC3789" w:rsidP="00EC3789">
      <w:pPr>
        <w:rPr>
          <w:rFonts w:ascii="Verdana" w:hAnsi="Verdana"/>
        </w:rPr>
      </w:pPr>
      <w:r w:rsidRPr="00EC3789">
        <w:rPr>
          <w:rFonts w:ascii="Verdana" w:hAnsi="Verdana"/>
        </w:rPr>
        <w:t xml:space="preserve"> </w:t>
      </w:r>
    </w:p>
    <w:p w:rsidR="00EC3789" w:rsidRDefault="00EC3789" w:rsidP="00EC3789">
      <w:pPr>
        <w:pStyle w:val="Heading1"/>
        <w:numPr>
          <w:ilvl w:val="0"/>
          <w:numId w:val="4"/>
        </w:numPr>
      </w:pPr>
      <w:r w:rsidRPr="00EC3789">
        <w:t>West Fork’s Policy Concerns Are Likewise Without Merit.</w:t>
      </w:r>
    </w:p>
    <w:p w:rsidR="00EC3789" w:rsidRPr="00EC3789" w:rsidRDefault="00EC3789" w:rsidP="00EC3789">
      <w:pPr>
        <w:pStyle w:val="ListParagraph"/>
      </w:pPr>
    </w:p>
    <w:p w:rsidR="00EC3789" w:rsidRPr="00EC3789" w:rsidRDefault="00EC3789" w:rsidP="00EC3789">
      <w:pPr>
        <w:rPr>
          <w:rFonts w:ascii="Verdana" w:hAnsi="Verdana"/>
        </w:rPr>
      </w:pPr>
      <w:r w:rsidRPr="00EC3789">
        <w:rPr>
          <w:rFonts w:ascii="Verdana" w:hAnsi="Verdana"/>
        </w:rPr>
        <w:t>Just like West Fork’s legal arguments, its policy concerns are unfounded. To begin, requiring plaintiffs to plead and prove that a named defendant committed an underlying tort will not unduly hinder conspiracy claims. For one thing, a plaintiff need only join at least one tortfeasor. Cases where there is only a single tortfeasor who cannot be joined procedurally are likely rare and the plaintiff could always sue in another jurisdiction where the tortfeasor is a proper party. For another thing, any harm in those few cases is outweighed by the substantial prejudice that would occur if alleged conspirators regularly had to defend against torts committed by unrelated and most likely uncooperative parties.8</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 xml:space="preserve">To the extent West Fork contends that the established rule somehow prevents settlements, that is not a legitimate concern because the rule only prevents unfair settlements where a plaintiff settles with </w:t>
      </w:r>
      <w:proofErr w:type="gramStart"/>
      <w:r w:rsidRPr="00EC3789">
        <w:rPr>
          <w:rFonts w:ascii="Verdana" w:hAnsi="Verdana"/>
        </w:rPr>
        <w:t>all of</w:t>
      </w:r>
      <w:proofErr w:type="gramEnd"/>
      <w:r w:rsidRPr="00EC3789">
        <w:rPr>
          <w:rFonts w:ascii="Verdana" w:hAnsi="Verdana"/>
        </w:rPr>
        <w:t xml:space="preserve"> the underlying tortfeasors and leaves the alleged conspirators to defend against the actions of an unrelated party. In all events, because damages for a conspiracy claim are the same as for the underlying tort (i.e., a plaintiff cannot recover anything “extra” for the conspiracy *18 claim), there is no effect on the evaluation of settlement options. If </w:t>
      </w:r>
      <w:r w:rsidRPr="00EC3789">
        <w:rPr>
          <w:rFonts w:ascii="Verdana" w:hAnsi="Verdana"/>
        </w:rPr>
        <w:lastRenderedPageBreak/>
        <w:t xml:space="preserve">anything, the established rule encourages global settlements, helps resolve cases earlier in the judicial process, and increases efficiency by having all parties joined in one suit. Indeed, if West Fork’s suit against Privity had resulted in a judicial decision rather than a settlement, the instant case against SunGard would have been estopped based on West Fork’s failure to raise the claim against SunGard in the first suit. See </w:t>
      </w:r>
      <w:proofErr w:type="spellStart"/>
      <w:r w:rsidRPr="00EC3789">
        <w:rPr>
          <w:rFonts w:ascii="Verdana" w:hAnsi="Verdana"/>
        </w:rPr>
        <w:t>Amstadt</w:t>
      </w:r>
      <w:proofErr w:type="spellEnd"/>
      <w:r w:rsidRPr="00EC3789">
        <w:rPr>
          <w:rFonts w:ascii="Verdana" w:hAnsi="Verdana"/>
        </w:rPr>
        <w:t xml:space="preserve"> v. U.S. Brass Corp., 919 S.W.2d 644, 652 (Tex. 1996) (“Res judicata precludes </w:t>
      </w:r>
      <w:proofErr w:type="spellStart"/>
      <w:r w:rsidRPr="00EC3789">
        <w:rPr>
          <w:rFonts w:ascii="Verdana" w:hAnsi="Verdana"/>
        </w:rPr>
        <w:t>relitigation</w:t>
      </w:r>
      <w:proofErr w:type="spellEnd"/>
      <w:r w:rsidRPr="00EC3789">
        <w:rPr>
          <w:rFonts w:ascii="Verdana" w:hAnsi="Verdana"/>
        </w:rPr>
        <w:t xml:space="preserve"> of claims that have been finally adjudicated, or that arise out of the same subject matter and that could have been litigated in the prior action.”).</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In sum, there are simply no policy concerns identified by West Fork that could justify upsetting the well-established precedent that the court of appeals correctly applied in affirming summary judgment. Here, as the court of appeals correctly held, West Fork cannot establish that a named defendant took any tortious action, because West Fork did not challenge the grant of summary judgment to SunGard on West Fork’s direct claims for misappropriation and conversion and West Fork did not assert any direct claims against SunGard for unfair competition and breach of fiduciary duty.</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Even as to its “direct” claims for misappropriation and conversion, West Fork attempted to hold SunGard liable only derivatively for the acts of Smith and Privity - SunGard itself. Thus, West Fork cannot establish its claims for *19 conspiracy and aiding and abetting as a matter of law, and the court of appeals properly affirmed summary judgment in SunGard’s favor.</w:t>
      </w:r>
    </w:p>
    <w:p w:rsidR="00EC3789" w:rsidRPr="00EC3789" w:rsidRDefault="00EC3789" w:rsidP="00EC3789">
      <w:pPr>
        <w:rPr>
          <w:rFonts w:ascii="Verdana" w:hAnsi="Verdana"/>
        </w:rPr>
      </w:pPr>
      <w:r w:rsidRPr="00EC3789">
        <w:rPr>
          <w:rFonts w:ascii="Verdana" w:hAnsi="Verdana"/>
        </w:rPr>
        <w:t xml:space="preserve"> </w:t>
      </w:r>
    </w:p>
    <w:p w:rsidR="00EC3789" w:rsidRDefault="00EC3789" w:rsidP="00EC3789">
      <w:pPr>
        <w:pStyle w:val="Heading1"/>
        <w:numPr>
          <w:ilvl w:val="0"/>
          <w:numId w:val="2"/>
        </w:numPr>
      </w:pPr>
      <w:r w:rsidRPr="00EC3789">
        <w:t xml:space="preserve">No Texas Court Has Ever Expanded Aiding-And-Abetting Liability Beyond The Parameters Identified By This Court In </w:t>
      </w:r>
      <w:proofErr w:type="spellStart"/>
      <w:r w:rsidRPr="00EC3789">
        <w:t>Juhl</w:t>
      </w:r>
      <w:proofErr w:type="spellEnd"/>
      <w:r w:rsidRPr="00EC3789">
        <w:t>, Which West Fork Inexplicably Ignores.</w:t>
      </w:r>
    </w:p>
    <w:p w:rsidR="00EC3789" w:rsidRPr="00EC3789" w:rsidRDefault="00EC3789" w:rsidP="00EC3789">
      <w:pPr>
        <w:pStyle w:val="ListParagraph"/>
        <w:ind w:left="1080"/>
      </w:pPr>
    </w:p>
    <w:p w:rsidR="00EC3789" w:rsidRPr="00EC3789" w:rsidRDefault="00EC3789" w:rsidP="00EC3789">
      <w:pPr>
        <w:rPr>
          <w:rFonts w:ascii="Verdana" w:hAnsi="Verdana"/>
        </w:rPr>
      </w:pPr>
      <w:r w:rsidRPr="00EC3789">
        <w:rPr>
          <w:rFonts w:ascii="Verdana" w:hAnsi="Verdana"/>
        </w:rPr>
        <w:t xml:space="preserve">The court of appeals affirmed summary judgment on West Fork’s aiding-and-abetting claim for the additional, alternative reason that it lies far outside the parameters this Court identified in </w:t>
      </w:r>
      <w:proofErr w:type="spellStart"/>
      <w:r w:rsidRPr="00EC3789">
        <w:rPr>
          <w:rFonts w:ascii="Verdana" w:hAnsi="Verdana"/>
        </w:rPr>
        <w:t>Juhl</w:t>
      </w:r>
      <w:proofErr w:type="spellEnd"/>
      <w:r w:rsidRPr="00EC3789">
        <w:rPr>
          <w:rFonts w:ascii="Verdana" w:hAnsi="Verdana"/>
        </w:rPr>
        <w:t xml:space="preserve"> when it observed that aiding-and-abetting liability implicates “highly dangerous, deviant, or anti-social group activity which [is] likely to cause serious injury or death to a person or certain harm to a large number of people.” 936 S.W.2d at 645. Inexplicably, West Fork fails to cite, much less to discuss, either </w:t>
      </w:r>
      <w:proofErr w:type="spellStart"/>
      <w:r w:rsidRPr="00EC3789">
        <w:rPr>
          <w:rFonts w:ascii="Verdana" w:hAnsi="Verdana"/>
        </w:rPr>
        <w:t>Juhl</w:t>
      </w:r>
      <w:proofErr w:type="spellEnd"/>
      <w:r w:rsidRPr="00EC3789">
        <w:rPr>
          <w:rFonts w:ascii="Verdana" w:hAnsi="Verdana"/>
        </w:rPr>
        <w:t xml:space="preserve"> or the court of appeals’ reliance on it when arguing for the expansion of aiding-and-abetting liability here.9</w:t>
      </w:r>
    </w:p>
    <w:p w:rsidR="00EC3789" w:rsidRPr="00EC3789" w:rsidRDefault="00EC3789" w:rsidP="00EC3789">
      <w:pPr>
        <w:rPr>
          <w:rFonts w:ascii="Verdana" w:hAnsi="Verdana"/>
        </w:rPr>
      </w:pPr>
      <w:r w:rsidRPr="00EC3789">
        <w:rPr>
          <w:rFonts w:ascii="Verdana" w:hAnsi="Verdana"/>
        </w:rPr>
        <w:lastRenderedPageBreak/>
        <w:t xml:space="preserve"> </w:t>
      </w:r>
    </w:p>
    <w:p w:rsidR="00EC3789" w:rsidRPr="00EC3789" w:rsidRDefault="00EC3789" w:rsidP="00EC3789">
      <w:pPr>
        <w:rPr>
          <w:rFonts w:ascii="Verdana" w:hAnsi="Verdana"/>
        </w:rPr>
      </w:pPr>
      <w:r w:rsidRPr="00EC3789">
        <w:rPr>
          <w:rFonts w:ascii="Verdana" w:hAnsi="Verdana"/>
        </w:rPr>
        <w:t xml:space="preserve">Nor does West Fork identify any Texas court that has ever held that a business dispute of the type involved in this case can give rise to an aiding-and-abetting claim, and we are aware of none. That is not surprising given that garden-variety business disputes are simply “not the type of activity addressed in the... *20 cases noted [by this Court] in </w:t>
      </w:r>
      <w:proofErr w:type="spellStart"/>
      <w:r w:rsidRPr="00EC3789">
        <w:rPr>
          <w:rFonts w:ascii="Verdana" w:hAnsi="Verdana"/>
        </w:rPr>
        <w:t>Juhl</w:t>
      </w:r>
      <w:proofErr w:type="spellEnd"/>
      <w:r w:rsidRPr="00EC3789">
        <w:rPr>
          <w:rFonts w:ascii="Verdana" w:hAnsi="Verdana"/>
        </w:rPr>
        <w:t>.” See III Forks Real Estate, L.P. v. Cohen, 228 S.W.3d 810, 815-16 (Tex. App. - Dallas 2007, no pet.).</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 xml:space="preserve">Rather, as this Court recognized in </w:t>
      </w:r>
      <w:proofErr w:type="spellStart"/>
      <w:r w:rsidRPr="00EC3789">
        <w:rPr>
          <w:rFonts w:ascii="Verdana" w:hAnsi="Verdana"/>
        </w:rPr>
        <w:t>Juhl</w:t>
      </w:r>
      <w:proofErr w:type="spellEnd"/>
      <w:r w:rsidRPr="00EC3789">
        <w:rPr>
          <w:rFonts w:ascii="Verdana" w:hAnsi="Verdana"/>
        </w:rPr>
        <w:t xml:space="preserve">, aiding-and-abetting liability has only been imposed by Texas courts in exceedingly limited circumstances involving “conduct posing a high degree of risk to others.” 936 S.W.2d at 645 (citing cases); see also Martinez v. Ford Motor Credit Co., No. 04-11-00306-CV, 2012 WL 3711347, at *5 (Tex. App. - San Antonio 2012, pet. denied) (mem. op.) (“As noted by the </w:t>
      </w:r>
      <w:proofErr w:type="spellStart"/>
      <w:r w:rsidRPr="00EC3789">
        <w:rPr>
          <w:rFonts w:ascii="Verdana" w:hAnsi="Verdana"/>
        </w:rPr>
        <w:t>Juhl</w:t>
      </w:r>
      <w:proofErr w:type="spellEnd"/>
      <w:r w:rsidRPr="00EC3789">
        <w:rPr>
          <w:rFonts w:ascii="Verdana" w:hAnsi="Verdana"/>
        </w:rPr>
        <w:t xml:space="preserve"> court, concert of action cases have involved behavior such as drag racing, group assault, reckless driving, and assisting a driver in becoming intoxicated.” (citing </w:t>
      </w:r>
      <w:proofErr w:type="spellStart"/>
      <w:r w:rsidRPr="00EC3789">
        <w:rPr>
          <w:rFonts w:ascii="Verdana" w:hAnsi="Verdana"/>
        </w:rPr>
        <w:t>Juhl</w:t>
      </w:r>
      <w:proofErr w:type="spellEnd"/>
      <w:r w:rsidRPr="00EC3789">
        <w:rPr>
          <w:rFonts w:ascii="Verdana" w:hAnsi="Verdana"/>
        </w:rPr>
        <w:t xml:space="preserve">, 936 S.W.2d at 644-45; Shinn v. Allen, 984 S.W.2d 308, 311 (Tex. App.-Houston [1st Dist.] 1998, no pet.))). That is because the limited “purpose” of aiding-and-abetting liability in this context “is to deter antisocial or dangerous behavior.” </w:t>
      </w:r>
      <w:proofErr w:type="spellStart"/>
      <w:r w:rsidRPr="00EC3789">
        <w:rPr>
          <w:rFonts w:ascii="Verdana" w:hAnsi="Verdana"/>
        </w:rPr>
        <w:t>Juhl</w:t>
      </w:r>
      <w:proofErr w:type="spellEnd"/>
      <w:r w:rsidRPr="00EC3789">
        <w:rPr>
          <w:rFonts w:ascii="Verdana" w:hAnsi="Verdana"/>
        </w:rPr>
        <w:t>, 936 S.W.2d at 644-45 (citations omitted).10</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 xml:space="preserve">Here, the underlying allegations of tortious conduct involve an attempt to wrongfully exercise control over a business and its intellectual property. Those allegations do not come close to behavior such as “drag racing, group assault, reckless driving, and assisting a driver in becoming intoxicated” that Texas courts *21 (cited by this Court in </w:t>
      </w:r>
      <w:proofErr w:type="spellStart"/>
      <w:r w:rsidRPr="00EC3789">
        <w:rPr>
          <w:rFonts w:ascii="Verdana" w:hAnsi="Verdana"/>
        </w:rPr>
        <w:t>Juhl</w:t>
      </w:r>
      <w:proofErr w:type="spellEnd"/>
      <w:r w:rsidRPr="00EC3789">
        <w:rPr>
          <w:rFonts w:ascii="Verdana" w:hAnsi="Verdana"/>
        </w:rPr>
        <w:t>) have identified as sufficiently dangerous and socially harmful to give rise to aiding-and-abetting liability. The court of appeals thus correctly concluded that even if West Fork had properly pled an underlying tort against SunGard, which it did not, its aiding-and-abetting claim would still fail.</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 xml:space="preserve">That conclusion is consistent not only with this Court’s decision in </w:t>
      </w:r>
      <w:proofErr w:type="spellStart"/>
      <w:r w:rsidRPr="00EC3789">
        <w:rPr>
          <w:rFonts w:ascii="Verdana" w:hAnsi="Verdana"/>
        </w:rPr>
        <w:t>Juhl</w:t>
      </w:r>
      <w:proofErr w:type="spellEnd"/>
      <w:r w:rsidRPr="00EC3789">
        <w:rPr>
          <w:rFonts w:ascii="Verdana" w:hAnsi="Verdana"/>
        </w:rPr>
        <w:t xml:space="preserve">, but also with every other Texas court of appeals that has analyzed the issue and held that the underlying tort must involve a high risk of physical harm to others for aiding-and-abetting liability to be imposed. See, e.g., Martinez, 2012 WL 3711347, at *5; In re Dole Food Co., 256 S.W.3d 851, 857 (Tex. App. - Beaumont 2008, orig. proceeding); III Forks Real Estate, 228 S.W.3d at 815-16; Shinn, 984 S.W.2d at 311. That rule makes sense to prevent the aiding-and-abetting cause of action from completely overlapping with conspiracy. Because there is no disagreement among the courts of appeals, and because the </w:t>
      </w:r>
      <w:r w:rsidRPr="00EC3789">
        <w:rPr>
          <w:rFonts w:ascii="Verdana" w:hAnsi="Verdana"/>
        </w:rPr>
        <w:lastRenderedPageBreak/>
        <w:t>standard for aiding-and-abetting liability is correct besides, there is no need for this Court’s review of this well-settled issue either.</w:t>
      </w:r>
    </w:p>
    <w:p w:rsidR="00EC3789" w:rsidRPr="00EC3789" w:rsidRDefault="00EC3789" w:rsidP="00EC3789">
      <w:pPr>
        <w:rPr>
          <w:rFonts w:ascii="Verdana" w:hAnsi="Verdana"/>
        </w:rPr>
      </w:pPr>
      <w:r w:rsidRPr="00EC3789">
        <w:rPr>
          <w:rFonts w:ascii="Verdana" w:hAnsi="Verdana"/>
        </w:rPr>
        <w:t xml:space="preserve"> </w:t>
      </w:r>
    </w:p>
    <w:p w:rsidR="00EC3789" w:rsidRDefault="00EC3789" w:rsidP="00EC3789">
      <w:pPr>
        <w:pStyle w:val="Heading1"/>
        <w:numPr>
          <w:ilvl w:val="0"/>
          <w:numId w:val="2"/>
        </w:numPr>
      </w:pPr>
      <w:r w:rsidRPr="00EC3789">
        <w:t>The Record Reflects Multiple, Independent Grounds Supporting The Judgment That Serve As Alternative Bases For Affirmance.</w:t>
      </w:r>
    </w:p>
    <w:p w:rsidR="00EC3789" w:rsidRPr="00EC3789" w:rsidRDefault="00EC3789" w:rsidP="00EC3789">
      <w:pPr>
        <w:pStyle w:val="ListParagraph"/>
        <w:ind w:left="1080"/>
      </w:pPr>
    </w:p>
    <w:p w:rsidR="00EC3789" w:rsidRPr="00EC3789" w:rsidRDefault="00EC3789" w:rsidP="00EC3789">
      <w:pPr>
        <w:rPr>
          <w:rFonts w:ascii="Verdana" w:hAnsi="Verdana"/>
        </w:rPr>
      </w:pPr>
      <w:r w:rsidRPr="00EC3789">
        <w:rPr>
          <w:rFonts w:ascii="Verdana" w:hAnsi="Verdana"/>
        </w:rPr>
        <w:t xml:space="preserve">This Court’s review would be improvident for the additional reason that several alternative grounds urged by SunGard and accepted by the trial court (but not reached by the court of appeals) support the judgment. Accordingly, even if this Court were to rule in West Fork’s favor on all issues raised in the petition, the *22 Court could not rule for West Fork outright, but would need to at least remand for the court of appeals to consider SunGard’s other arguments for affirmance. Alternatively, this Court may affirm for alternate grounds supported by the record. </w:t>
      </w:r>
      <w:proofErr w:type="spellStart"/>
      <w:r w:rsidRPr="00EC3789">
        <w:rPr>
          <w:rFonts w:ascii="Verdana" w:hAnsi="Verdana"/>
        </w:rPr>
        <w:t>Drilex</w:t>
      </w:r>
      <w:proofErr w:type="spellEnd"/>
      <w:r w:rsidRPr="00EC3789">
        <w:rPr>
          <w:rFonts w:ascii="Verdana" w:hAnsi="Verdana"/>
        </w:rPr>
        <w:t xml:space="preserve"> Sys., Inc. v. Flores, 1 S.W.3d 112, 119 (Tex. 1999) (“We will nevertheless uphold the trial court’s ruling if there is any legitimate basis for it in the record.”).</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For example, as to West Fork’s conspiracy claim, SunGard argued in its court of appeals brief (at 50-54) that summary judgment was proper because there was no evidence that (1) SunGard knew any alleged co-conspirators planned to steal MAAP from West Fork, and no evidence that (2) any agreement existed between SunGard and alleged co-conspirators to steal MAAP or do anything else unlawful. As to the aiding-and-abetting claim, SunGard argued (at 23-48) that summary judgment was proper because there was no evidence that SunGard (1) substantially assisted anyone in stealing MAAP, (2) knew the conduct of Smith who was allegedly trying to steal MAAP was tortious, or (3) had the intent to assist anyone in committing a tort. Indeed, these arguments won the day for SunGard in the trial court. R.1480 (Order Granting SunGard’s Motions for Summary Judgment) (“Plaintiff has failed to produce evidence as to one or more essential elements of each claim for relief ... including Plaintiff’s derivative claims ... Defendant has produced undisputed evidence conclusively disproving one or more essential elements of each of the claims for relief asserted ... .”).</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 xml:space="preserve">*23 SunGard also argued (at 54-57) that there was insufficient evidence of damages to support either claim. Given that West Fork retained the ability to develop MAAP and its only competitor with that ability, the former subsidiary Privity, went bankrupt it is unclear what damages actually exist. West Fork was free, under its settlement with </w:t>
      </w:r>
      <w:r w:rsidRPr="00EC3789">
        <w:rPr>
          <w:rFonts w:ascii="Verdana" w:hAnsi="Verdana"/>
        </w:rPr>
        <w:lastRenderedPageBreak/>
        <w:t>Privity, to pay SunGard for its work on the software and continue developing it. Instead, West Fork chose to sue SunGard, even though SunGard is not using MAAP and has not benefitted from it in any way. In fact, only SunGard, shorted $1.75 million for its work, was truly injured in this case.</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Even on West Fork’s view of conspiracy law, an underlying tort still must be proven a fact so lacking in evidentiary support that the trial court could not justify putting the parties to the expense of a trial. The existence of multiple alternative grounds for the judgment below is thus an additional reason the petition should be denied or the judgment affirmed. Even assuming the decision below were otherwise worthy of review, which it is not, the end result will only be wasted judicial and party resources. It is time for the litigation which should never have been brought against SunGard in the first place to end.</w:t>
      </w:r>
    </w:p>
    <w:p w:rsidR="00EC3789" w:rsidRPr="00EC3789" w:rsidRDefault="00EC3789" w:rsidP="00EC3789">
      <w:pPr>
        <w:rPr>
          <w:rFonts w:ascii="Verdana" w:hAnsi="Verdana"/>
        </w:rPr>
      </w:pPr>
      <w:r w:rsidRPr="00EC3789">
        <w:rPr>
          <w:rFonts w:ascii="Verdana" w:hAnsi="Verdana"/>
        </w:rPr>
        <w:t xml:space="preserve"> </w:t>
      </w:r>
    </w:p>
    <w:p w:rsidR="00EC3789" w:rsidRDefault="00EC3789" w:rsidP="00EC3789">
      <w:pPr>
        <w:pStyle w:val="Heading1"/>
      </w:pPr>
      <w:r w:rsidRPr="00EC3789">
        <w:t>PRAYER</w:t>
      </w:r>
    </w:p>
    <w:p w:rsidR="00EC3789" w:rsidRPr="00EC3789" w:rsidRDefault="00EC3789" w:rsidP="00EC3789"/>
    <w:p w:rsidR="00EC3789" w:rsidRPr="00EC3789" w:rsidRDefault="00EC3789" w:rsidP="00EC3789">
      <w:pPr>
        <w:rPr>
          <w:rFonts w:ascii="Verdana" w:hAnsi="Verdana"/>
        </w:rPr>
      </w:pPr>
      <w:r w:rsidRPr="00EC3789">
        <w:rPr>
          <w:rFonts w:ascii="Verdana" w:hAnsi="Verdana"/>
        </w:rPr>
        <w:t>For the foregoing reasons, the petition should be denied or, in the alternative, the judgment of the court of appeals affirmed.</w:t>
      </w:r>
    </w:p>
    <w:p w:rsidR="00EC3789" w:rsidRPr="00EC3789" w:rsidRDefault="00EC3789" w:rsidP="00EC3789">
      <w:pPr>
        <w:rPr>
          <w:rFonts w:ascii="Verdana" w:hAnsi="Verdana"/>
        </w:rPr>
      </w:pPr>
      <w:r w:rsidRPr="00EC3789">
        <w:rPr>
          <w:rFonts w:ascii="Verdana" w:hAnsi="Verdana"/>
        </w:rPr>
        <w:t xml:space="preserve"> </w:t>
      </w:r>
    </w:p>
    <w:p w:rsidR="00EC3789" w:rsidRPr="00EC3789" w:rsidRDefault="00EC3789" w:rsidP="00EC3789">
      <w:pPr>
        <w:rPr>
          <w:rFonts w:ascii="Verdana" w:hAnsi="Verdana"/>
        </w:rPr>
      </w:pPr>
      <w:r w:rsidRPr="00EC3789">
        <w:rPr>
          <w:rFonts w:ascii="Verdana" w:hAnsi="Verdana"/>
        </w:rPr>
        <w:t>Footnotes</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1</w:t>
      </w:r>
    </w:p>
    <w:p w:rsidR="00EC3789" w:rsidRPr="00EC3789" w:rsidRDefault="00EC3789" w:rsidP="00EC3789">
      <w:pPr>
        <w:rPr>
          <w:rFonts w:ascii="Verdana" w:hAnsi="Verdana"/>
        </w:rPr>
      </w:pPr>
      <w:r w:rsidRPr="00EC3789">
        <w:rPr>
          <w:rFonts w:ascii="Verdana" w:hAnsi="Verdana"/>
        </w:rPr>
        <w:tab/>
        <w:t>Q. Did you ever go out and start raising equity for this?</w:t>
      </w:r>
    </w:p>
    <w:p w:rsidR="00EC3789" w:rsidRPr="00EC3789" w:rsidRDefault="00EC3789" w:rsidP="00EC3789">
      <w:pPr>
        <w:rPr>
          <w:rFonts w:ascii="Verdana" w:hAnsi="Verdana"/>
        </w:rPr>
      </w:pPr>
      <w:r w:rsidRPr="00EC3789">
        <w:rPr>
          <w:rFonts w:ascii="Verdana" w:hAnsi="Verdana"/>
        </w:rPr>
        <w:t>A. Not for Privity.</w:t>
      </w:r>
    </w:p>
    <w:p w:rsidR="00EC3789" w:rsidRPr="00EC3789" w:rsidRDefault="00EC3789" w:rsidP="00EC3789">
      <w:pPr>
        <w:rPr>
          <w:rFonts w:ascii="Verdana" w:hAnsi="Verdana"/>
        </w:rPr>
      </w:pPr>
      <w:r w:rsidRPr="00EC3789">
        <w:rPr>
          <w:rFonts w:ascii="Verdana" w:hAnsi="Verdana"/>
        </w:rPr>
        <w:t>Q. Did you ever raise any equity to pay for any of the SunGard invoices?</w:t>
      </w:r>
    </w:p>
    <w:p w:rsidR="00EC3789" w:rsidRPr="00EC3789" w:rsidRDefault="00EC3789" w:rsidP="00EC3789">
      <w:pPr>
        <w:rPr>
          <w:rFonts w:ascii="Verdana" w:hAnsi="Verdana"/>
        </w:rPr>
      </w:pPr>
      <w:r w:rsidRPr="00EC3789">
        <w:rPr>
          <w:rFonts w:ascii="Verdana" w:hAnsi="Verdana"/>
        </w:rPr>
        <w:t>A. No. The SunGard invoices were a Privity problem.</w:t>
      </w:r>
    </w:p>
    <w:p w:rsidR="00EC3789" w:rsidRPr="00EC3789" w:rsidRDefault="00EC3789" w:rsidP="00EC3789">
      <w:pPr>
        <w:rPr>
          <w:rFonts w:ascii="Verdana" w:hAnsi="Verdana"/>
        </w:rPr>
      </w:pPr>
      <w:r w:rsidRPr="00EC3789">
        <w:rPr>
          <w:rFonts w:ascii="Verdana" w:hAnsi="Verdana"/>
        </w:rPr>
        <w:t>R.727 (Gunderson Dep. at 105).</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2</w:t>
      </w:r>
    </w:p>
    <w:p w:rsidR="00EC3789" w:rsidRPr="00EC3789" w:rsidRDefault="00EC3789" w:rsidP="00EC3789">
      <w:pPr>
        <w:rPr>
          <w:rFonts w:ascii="Verdana" w:hAnsi="Verdana"/>
        </w:rPr>
      </w:pPr>
      <w:r w:rsidRPr="00EC3789">
        <w:rPr>
          <w:rFonts w:ascii="Verdana" w:hAnsi="Verdana"/>
        </w:rPr>
        <w:tab/>
        <w:t>After signing contracts with SunGard in an authoritative capacity for both West Fork and Privity, Smith asked SunGard to change the invoice names from West Fork to Privity in June of 2010. R.1362. SunGard then began referring to the company as “Privity Financial LLC (f/k/a West Fork Advisors LLC).” Id. Smith resigned from West Fork in August of 2010. R.1366.</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3</w:t>
      </w:r>
    </w:p>
    <w:p w:rsidR="00EC3789" w:rsidRPr="00EC3789" w:rsidRDefault="00EC3789" w:rsidP="00EC3789">
      <w:pPr>
        <w:rPr>
          <w:rFonts w:ascii="Verdana" w:hAnsi="Verdana"/>
        </w:rPr>
      </w:pPr>
      <w:r w:rsidRPr="00EC3789">
        <w:rPr>
          <w:rFonts w:ascii="Verdana" w:hAnsi="Verdana"/>
        </w:rPr>
        <w:tab/>
        <w:t xml:space="preserve">See, e.g., Wingert v. </w:t>
      </w:r>
      <w:proofErr w:type="spellStart"/>
      <w:r w:rsidRPr="00EC3789">
        <w:rPr>
          <w:rFonts w:ascii="Verdana" w:hAnsi="Verdana"/>
        </w:rPr>
        <w:t>DeVoll</w:t>
      </w:r>
      <w:proofErr w:type="spellEnd"/>
      <w:r w:rsidRPr="00EC3789">
        <w:rPr>
          <w:rFonts w:ascii="Verdana" w:hAnsi="Verdana"/>
        </w:rPr>
        <w:t xml:space="preserve">, No. 03-09-00440-CV, 2010 WL 3271744, at *1 (Tex. App. Aug. 20, 2010, pet. denied) (mem. op.); AFE Oil &amp; Gas, L.L.C. v. Hess, No. 05-07-01564-CV, 2009 WL 294828, </w:t>
      </w:r>
      <w:r w:rsidRPr="00EC3789">
        <w:rPr>
          <w:rFonts w:ascii="Verdana" w:hAnsi="Verdana"/>
        </w:rPr>
        <w:lastRenderedPageBreak/>
        <w:t xml:space="preserve">at *4 &amp; n.3 (Tex. App. - Dallas Feb. 9, 2009, no pet.) (mem. op.); Four Bros. Boat Works, Inc. v. Tesoro Petrol. Cos., 217 S.W.3d 653, 668 (Tex. App.-Houston [14th Dist.] 2006, pet. denied); Yokogawa Corp. of Am. v. Skye Int’l Holdings, Inc., 159 S.W.3d 266, 272 (Tex. App. - Dallas 2005, no pet.); In re Arthur Andersen LLP, 121 S.W.3d 471, 482 (Tex. App. - Houston [14th Dist.] 2003, orig. proceeding). So too have federal courts applying Texas law. See, e.g., Ingalls v. Edgewater Private Equity Fund III, L.P., No. CIV.A. H-05-1392, 2005 WL 2647962, at *6 (S.D. Tex. Oct. 17, 2005) (“Because Ingalls has failed properly to plead any underlying tort, his conspiracy claim must be dismissed.” (citing Jefferson v. Lead Indus. </w:t>
      </w:r>
      <w:proofErr w:type="spellStart"/>
      <w:r w:rsidRPr="00EC3789">
        <w:rPr>
          <w:rFonts w:ascii="Verdana" w:hAnsi="Verdana"/>
        </w:rPr>
        <w:t>Ass’n</w:t>
      </w:r>
      <w:proofErr w:type="spellEnd"/>
      <w:r w:rsidRPr="00EC3789">
        <w:rPr>
          <w:rFonts w:ascii="Verdana" w:hAnsi="Verdana"/>
        </w:rPr>
        <w:t>, 106 F.3d 1245, 1254 (5th Cir. 1997))).</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4</w:t>
      </w:r>
    </w:p>
    <w:p w:rsidR="00EC3789" w:rsidRPr="00EC3789" w:rsidRDefault="00EC3789" w:rsidP="00EC3789">
      <w:pPr>
        <w:rPr>
          <w:rFonts w:ascii="Verdana" w:hAnsi="Verdana"/>
        </w:rPr>
      </w:pPr>
      <w:r w:rsidRPr="00EC3789">
        <w:rPr>
          <w:rFonts w:ascii="Verdana" w:hAnsi="Verdana"/>
        </w:rPr>
        <w:tab/>
        <w:t>Likely because it is doubtful that aiding-and-abetting claims such as West Fork’s are even viable in Texas, few cases involve such claims. But the logic of cases requiring proof of an underlying tort for conspiracy claims applies just as forcefully to aiding-and-abetting claims.</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5</w:t>
      </w:r>
    </w:p>
    <w:p w:rsidR="00EC3789" w:rsidRPr="00EC3789" w:rsidRDefault="00EC3789" w:rsidP="00EC3789">
      <w:pPr>
        <w:rPr>
          <w:rFonts w:ascii="Verdana" w:hAnsi="Verdana"/>
        </w:rPr>
      </w:pPr>
      <w:r w:rsidRPr="00EC3789">
        <w:rPr>
          <w:rFonts w:ascii="Verdana" w:hAnsi="Verdana"/>
        </w:rPr>
        <w:tab/>
        <w:t>West Fork argues that the language in Tilton is dicta, but that misses the point. Tilton quite plainly states the general rule that without pleading and proof of an underlying tort, conspiracy and aiding-and-abetting claims must fail. In all events, the courts of appeals have uniformly applied that rule - and no court of appeals has adopted the position West Fork espouses.</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6</w:t>
      </w:r>
    </w:p>
    <w:p w:rsidR="00EC3789" w:rsidRPr="00EC3789" w:rsidRDefault="00EC3789" w:rsidP="00EC3789">
      <w:pPr>
        <w:rPr>
          <w:rFonts w:ascii="Verdana" w:hAnsi="Verdana"/>
        </w:rPr>
      </w:pPr>
      <w:r w:rsidRPr="00EC3789">
        <w:rPr>
          <w:rFonts w:ascii="Verdana" w:hAnsi="Verdana"/>
        </w:rPr>
        <w:tab/>
        <w:t>The settlement between West Fork and Smith is telling on this score. Imagine the perverseness of West Fork agreeing to share the computer program at issue with an alleged “thief” of the program (Privity and Smith) while making a stranger to their business (SunGard) stand trial for conspiracy to commit the theft.</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7</w:t>
      </w:r>
    </w:p>
    <w:p w:rsidR="00EC3789" w:rsidRPr="00EC3789" w:rsidRDefault="00EC3789" w:rsidP="00EC3789">
      <w:pPr>
        <w:rPr>
          <w:rFonts w:ascii="Verdana" w:hAnsi="Verdana"/>
        </w:rPr>
      </w:pPr>
      <w:r w:rsidRPr="00EC3789">
        <w:rPr>
          <w:rFonts w:ascii="Verdana" w:hAnsi="Verdana"/>
        </w:rPr>
        <w:tab/>
        <w:t>This is separate from the prejudice that an alleged conspirator would face when the jury is informed that a tortfeasor settled a suit for the underlying tort. The burden of proof would effectively switch to the alleged conspirator to prove that the tort did not take place - even higher hurdle when the tortfeasor has conceded at least some point(s) previously to avoid trial.</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8</w:t>
      </w:r>
    </w:p>
    <w:p w:rsidR="00EC3789" w:rsidRPr="00EC3789" w:rsidRDefault="00EC3789" w:rsidP="00EC3789">
      <w:pPr>
        <w:rPr>
          <w:rFonts w:ascii="Verdana" w:hAnsi="Verdana"/>
        </w:rPr>
      </w:pPr>
      <w:r w:rsidRPr="00EC3789">
        <w:rPr>
          <w:rFonts w:ascii="Verdana" w:hAnsi="Verdana"/>
        </w:rPr>
        <w:lastRenderedPageBreak/>
        <w:tab/>
        <w:t>One can easily imagine scenarios in which a plaintiff settles with a “friendly” tortfeasor before pursuing an alleged conspirator (perhaps one with deeper pockets). That third party would then be forced to defend itself without the benefit of a defendant in the suit with a “skin in the game.” While forcing one party to answer for the actions of another may be reasonable in scenarios where the parties have a relationship, see supra 13-14, it would make little sense as a policy matter to begin forcing third parties to “stand in the shoes” of any tortfeasor with whom they may be tangentially linked.</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9</w:t>
      </w:r>
    </w:p>
    <w:p w:rsidR="00EC3789" w:rsidRPr="00EC3789" w:rsidRDefault="00EC3789" w:rsidP="00EC3789">
      <w:pPr>
        <w:rPr>
          <w:rFonts w:ascii="Verdana" w:hAnsi="Verdana"/>
        </w:rPr>
      </w:pPr>
      <w:r w:rsidRPr="00EC3789">
        <w:rPr>
          <w:rFonts w:ascii="Verdana" w:hAnsi="Verdana"/>
        </w:rPr>
        <w:tab/>
        <w:t>Texas Rule of Appellate Procedure 38.1(</w:t>
      </w:r>
      <w:proofErr w:type="spellStart"/>
      <w:r w:rsidRPr="00EC3789">
        <w:rPr>
          <w:rFonts w:ascii="Verdana" w:hAnsi="Verdana"/>
        </w:rPr>
        <w:t>i</w:t>
      </w:r>
      <w:proofErr w:type="spellEnd"/>
      <w:r w:rsidRPr="00EC3789">
        <w:rPr>
          <w:rFonts w:ascii="Verdana" w:hAnsi="Verdana"/>
        </w:rPr>
        <w:t>) requires appropriate citations for arguments. While West Fork offers some authority for this point, the failure to address this Court’s controlling authority especially after it was relied upon by the court of appeals and previously raised by SunGard - cannot satisfy the appropriate-citation requirement.</w:t>
      </w:r>
    </w:p>
    <w:p w:rsidR="00EC3789" w:rsidRPr="00EC3789" w:rsidRDefault="00EC3789" w:rsidP="00EC3789">
      <w:pPr>
        <w:rPr>
          <w:rFonts w:ascii="Verdana" w:hAnsi="Verdana"/>
        </w:rPr>
      </w:pPr>
    </w:p>
    <w:p w:rsidR="00EC3789" w:rsidRPr="00EC3789" w:rsidRDefault="00EC3789" w:rsidP="00EC3789">
      <w:pPr>
        <w:rPr>
          <w:rFonts w:ascii="Verdana" w:hAnsi="Verdana"/>
        </w:rPr>
      </w:pPr>
      <w:r w:rsidRPr="00EC3789">
        <w:rPr>
          <w:rFonts w:ascii="Verdana" w:hAnsi="Verdana"/>
        </w:rPr>
        <w:t>10</w:t>
      </w:r>
    </w:p>
    <w:p w:rsidR="00EC3789" w:rsidRPr="00EC3789" w:rsidRDefault="00EC3789" w:rsidP="00EC3789">
      <w:pPr>
        <w:rPr>
          <w:rFonts w:ascii="Verdana" w:hAnsi="Verdana"/>
        </w:rPr>
      </w:pPr>
      <w:r w:rsidRPr="00EC3789">
        <w:rPr>
          <w:rFonts w:ascii="Verdana" w:hAnsi="Verdana"/>
        </w:rPr>
        <w:tab/>
        <w:t xml:space="preserve">In seeking to expand aiding-and-abetting liability beyond the parameters identified by this Court in </w:t>
      </w:r>
      <w:proofErr w:type="spellStart"/>
      <w:r w:rsidRPr="00EC3789">
        <w:rPr>
          <w:rFonts w:ascii="Verdana" w:hAnsi="Verdana"/>
        </w:rPr>
        <w:t>Juhl</w:t>
      </w:r>
      <w:proofErr w:type="spellEnd"/>
      <w:r w:rsidRPr="00EC3789">
        <w:rPr>
          <w:rFonts w:ascii="Verdana" w:hAnsi="Verdana"/>
        </w:rPr>
        <w:t>, West Fork relies upon a single case (at 21) - Anderton v. Cawley, 378 S.W.3d 38, 63 (Tex. App. - Dallas 2012, no pet.). But that case did not discuss the issue at all - it merely assumed that such a claim could exist in the absence of any argument to the contrary.</w:t>
      </w:r>
    </w:p>
    <w:p w:rsidR="00EC3789" w:rsidRPr="00EC3789" w:rsidRDefault="00EC3789" w:rsidP="00EC3789">
      <w:pPr>
        <w:rPr>
          <w:rFonts w:ascii="Verdana" w:hAnsi="Verdana"/>
        </w:rPr>
      </w:pPr>
    </w:p>
    <w:p w:rsidR="00EC3789" w:rsidRPr="00EC3789" w:rsidRDefault="00EC3789" w:rsidP="00EC3789">
      <w:pPr>
        <w:rPr>
          <w:rFonts w:ascii="Verdana" w:hAnsi="Verdana"/>
        </w:rPr>
      </w:pPr>
    </w:p>
    <w:p w:rsidR="00EC3789" w:rsidRPr="00EC3789" w:rsidRDefault="00EC3789" w:rsidP="00EC3789">
      <w:pPr>
        <w:rPr>
          <w:rFonts w:ascii="Verdana" w:hAnsi="Verdana"/>
        </w:rPr>
      </w:pPr>
    </w:p>
    <w:p w:rsidR="00923289" w:rsidRPr="00EC3789" w:rsidRDefault="00923289">
      <w:pPr>
        <w:rPr>
          <w:rFonts w:ascii="Verdana" w:hAnsi="Verdana"/>
        </w:rPr>
      </w:pPr>
    </w:p>
    <w:sectPr w:rsidR="00923289" w:rsidRPr="00EC3789" w:rsidSect="0092328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0477A1"/>
    <w:multiLevelType w:val="hybridMultilevel"/>
    <w:tmpl w:val="70B0992C"/>
    <w:lvl w:ilvl="0" w:tplc="C5A4C0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4C4381"/>
    <w:multiLevelType w:val="hybridMultilevel"/>
    <w:tmpl w:val="480EBE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336C03"/>
    <w:multiLevelType w:val="hybridMultilevel"/>
    <w:tmpl w:val="E1F28E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B64B52"/>
    <w:multiLevelType w:val="hybridMultilevel"/>
    <w:tmpl w:val="554A5CFC"/>
    <w:lvl w:ilvl="0" w:tplc="C28E52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789"/>
    <w:rsid w:val="00024FF8"/>
    <w:rsid w:val="00034888"/>
    <w:rsid w:val="00181857"/>
    <w:rsid w:val="002B033D"/>
    <w:rsid w:val="002C795F"/>
    <w:rsid w:val="002D1CF5"/>
    <w:rsid w:val="003141F6"/>
    <w:rsid w:val="00317CF1"/>
    <w:rsid w:val="003C4FED"/>
    <w:rsid w:val="003D1265"/>
    <w:rsid w:val="0045154C"/>
    <w:rsid w:val="004B0BB4"/>
    <w:rsid w:val="004D487A"/>
    <w:rsid w:val="004E13C7"/>
    <w:rsid w:val="004F5520"/>
    <w:rsid w:val="00517D9E"/>
    <w:rsid w:val="005253CC"/>
    <w:rsid w:val="00552537"/>
    <w:rsid w:val="00592AC4"/>
    <w:rsid w:val="00665565"/>
    <w:rsid w:val="0068087E"/>
    <w:rsid w:val="006D35D3"/>
    <w:rsid w:val="006E184B"/>
    <w:rsid w:val="007A4FF4"/>
    <w:rsid w:val="0082645D"/>
    <w:rsid w:val="00854C25"/>
    <w:rsid w:val="00873919"/>
    <w:rsid w:val="00923289"/>
    <w:rsid w:val="0099208A"/>
    <w:rsid w:val="009D6DD8"/>
    <w:rsid w:val="00A15751"/>
    <w:rsid w:val="00A76561"/>
    <w:rsid w:val="00AD6007"/>
    <w:rsid w:val="00BB77C2"/>
    <w:rsid w:val="00C15050"/>
    <w:rsid w:val="00D46635"/>
    <w:rsid w:val="00D754A5"/>
    <w:rsid w:val="00D843F5"/>
    <w:rsid w:val="00E35205"/>
    <w:rsid w:val="00EA2873"/>
    <w:rsid w:val="00EC3789"/>
    <w:rsid w:val="00F44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347450C-D4E8-4EA5-862A-58EAEAA2B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3289"/>
    <w:rPr>
      <w:sz w:val="24"/>
      <w:szCs w:val="24"/>
    </w:rPr>
  </w:style>
  <w:style w:type="paragraph" w:styleId="Heading1">
    <w:name w:val="heading 1"/>
    <w:basedOn w:val="Normal"/>
    <w:next w:val="Normal"/>
    <w:link w:val="Heading1Char"/>
    <w:qFormat/>
    <w:rsid w:val="00EC3789"/>
    <w:pPr>
      <w:keepNext/>
      <w:spacing w:before="240" w:after="60"/>
      <w:outlineLvl w:val="0"/>
    </w:pPr>
    <w:rPr>
      <w:rFonts w:ascii="Verdana" w:eastAsiaTheme="majorEastAsia" w:hAnsi="Verdana" w:cstheme="majorBidi"/>
      <w:b/>
      <w:bCs/>
      <w:kern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C3789"/>
    <w:rPr>
      <w:rFonts w:ascii="Verdana" w:eastAsiaTheme="majorEastAsia" w:hAnsi="Verdana" w:cstheme="majorBidi"/>
      <w:b/>
      <w:bCs/>
      <w:kern w:val="32"/>
      <w:sz w:val="24"/>
      <w:szCs w:val="24"/>
    </w:rPr>
  </w:style>
  <w:style w:type="paragraph" w:styleId="ListParagraph">
    <w:name w:val="List Paragraph"/>
    <w:basedOn w:val="Normal"/>
    <w:uiPriority w:val="34"/>
    <w:qFormat/>
    <w:rsid w:val="00EC378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5498</Words>
  <Characters>31343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Thomson</Company>
  <LinksUpToDate>false</LinksUpToDate>
  <CharactersWithSpaces>36768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u0037404</dc:creator>
  <cp:lastModifiedBy>Yuliya Valadzko</cp:lastModifiedBy>
  <cp:revision>2</cp:revision>
  <dcterms:created xsi:type="dcterms:W3CDTF">2019-04-24T13:20:00Z</dcterms:created>
  <dcterms:modified xsi:type="dcterms:W3CDTF">2019-04-24T13:20:00Z</dcterms:modified>
</cp:coreProperties>
</file>