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0A11E3"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p>
    <w:p w14:paraId="645D28AD" w14:textId="77777777" w:rsidR="00000000" w:rsidRDefault="00000000">
      <w:pPr>
        <w:widowControl w:val="0"/>
        <w:autoSpaceDE w:val="0"/>
        <w:autoSpaceDN w:val="0"/>
        <w:adjustRightInd w:val="0"/>
        <w:spacing w:after="0" w:line="240" w:lineRule="auto"/>
        <w:rPr>
          <w:rFonts w:ascii="Arial" w:hAnsi="Arial" w:cs="Arial"/>
          <w:kern w:val="0"/>
        </w:rPr>
        <w:sectPr w:rsidR="00000000">
          <w:headerReference w:type="default" r:id="rId6"/>
          <w:footerReference w:type="default" r:id="rId7"/>
          <w:pgSz w:w="12240" w:h="15840"/>
          <w:pgMar w:top="1080" w:right="1080" w:bottom="1080" w:left="1080" w:header="720" w:footer="720" w:gutter="0"/>
          <w:cols w:space="720"/>
          <w:noEndnote/>
        </w:sectPr>
      </w:pPr>
    </w:p>
    <w:p w14:paraId="64EE4E63" w14:textId="77777777" w:rsidR="00000000" w:rsidRDefault="00000000">
      <w:pPr>
        <w:widowControl w:val="0"/>
        <w:autoSpaceDE w:val="0"/>
        <w:autoSpaceDN w:val="0"/>
        <w:adjustRightInd w:val="0"/>
        <w:spacing w:after="0" w:line="240" w:lineRule="auto"/>
        <w:rPr>
          <w:rFonts w:ascii="Times New Roman" w:hAnsi="Times New Roman" w:cs="Times New Roman"/>
          <w:color w:val="000000"/>
          <w:kern w:val="0"/>
          <w:sz w:val="20"/>
          <w:szCs w:val="20"/>
        </w:rPr>
      </w:pPr>
      <w:bookmarkStart w:id="0" w:name="co_document_1"/>
      <w:bookmarkStart w:id="1" w:name="Ia3e1c7a0ae0011eebd0aa188c43ad821_Target"/>
      <w:bookmarkEnd w:id="0"/>
      <w:bookmarkEnd w:id="1"/>
    </w:p>
    <w:p w14:paraId="25420821" w14:textId="77777777" w:rsidR="00000000" w:rsidRDefault="00000000">
      <w:pPr>
        <w:widowControl w:val="0"/>
        <w:autoSpaceDE w:val="0"/>
        <w:autoSpaceDN w:val="0"/>
        <w:adjustRightInd w:val="0"/>
        <w:spacing w:after="0" w:line="240" w:lineRule="auto"/>
        <w:jc w:val="center"/>
        <w:rPr>
          <w:rFonts w:ascii="Georgia" w:hAnsi="Georgia" w:cs="Georgia"/>
          <w:color w:val="000000"/>
          <w:kern w:val="0"/>
          <w:sz w:val="20"/>
          <w:szCs w:val="20"/>
        </w:rPr>
      </w:pPr>
      <w:r>
        <w:rPr>
          <w:rFonts w:ascii="Georgia" w:hAnsi="Georgia" w:cs="Georgia"/>
          <w:color w:val="000000"/>
          <w:kern w:val="0"/>
          <w:sz w:val="20"/>
          <w:szCs w:val="20"/>
        </w:rPr>
        <w:t>2023 WL 9108365 (Fla.Cir.Ct.) (Trial Pleading)</w:t>
      </w:r>
    </w:p>
    <w:p w14:paraId="713E9D7F" w14:textId="77777777" w:rsidR="00000000" w:rsidRDefault="00000000">
      <w:pPr>
        <w:widowControl w:val="0"/>
        <w:autoSpaceDE w:val="0"/>
        <w:autoSpaceDN w:val="0"/>
        <w:adjustRightInd w:val="0"/>
        <w:spacing w:after="0" w:line="240" w:lineRule="auto"/>
        <w:jc w:val="center"/>
        <w:rPr>
          <w:rFonts w:ascii="Georgia" w:hAnsi="Georgia" w:cs="Georgia"/>
          <w:color w:val="000000"/>
          <w:kern w:val="0"/>
          <w:sz w:val="20"/>
          <w:szCs w:val="20"/>
        </w:rPr>
      </w:pPr>
      <w:r>
        <w:rPr>
          <w:rFonts w:ascii="Georgia" w:hAnsi="Georgia" w:cs="Georgia"/>
          <w:color w:val="000000"/>
          <w:kern w:val="0"/>
          <w:sz w:val="20"/>
          <w:szCs w:val="20"/>
        </w:rPr>
        <w:t>Circuit Court of Florida,</w:t>
      </w:r>
    </w:p>
    <w:p w14:paraId="0A2D043B" w14:textId="77777777" w:rsidR="00000000" w:rsidRDefault="00000000">
      <w:pPr>
        <w:widowControl w:val="0"/>
        <w:autoSpaceDE w:val="0"/>
        <w:autoSpaceDN w:val="0"/>
        <w:adjustRightInd w:val="0"/>
        <w:spacing w:after="0" w:line="240" w:lineRule="auto"/>
        <w:jc w:val="center"/>
        <w:rPr>
          <w:rFonts w:ascii="Georgia" w:hAnsi="Georgia" w:cs="Georgia"/>
          <w:color w:val="000000"/>
          <w:kern w:val="0"/>
          <w:sz w:val="20"/>
          <w:szCs w:val="20"/>
        </w:rPr>
      </w:pPr>
      <w:r>
        <w:rPr>
          <w:rFonts w:ascii="Georgia" w:hAnsi="Georgia" w:cs="Georgia"/>
          <w:color w:val="000000"/>
          <w:kern w:val="0"/>
          <w:sz w:val="20"/>
          <w:szCs w:val="20"/>
        </w:rPr>
        <w:t>Seventeenth Judicial Circuit, Civil Division.</w:t>
      </w:r>
    </w:p>
    <w:p w14:paraId="7C07FEE8" w14:textId="77777777" w:rsidR="00000000" w:rsidRDefault="00000000">
      <w:pPr>
        <w:widowControl w:val="0"/>
        <w:autoSpaceDE w:val="0"/>
        <w:autoSpaceDN w:val="0"/>
        <w:adjustRightInd w:val="0"/>
        <w:spacing w:after="0" w:line="240" w:lineRule="auto"/>
        <w:jc w:val="center"/>
        <w:rPr>
          <w:rFonts w:ascii="Georgia" w:hAnsi="Georgia" w:cs="Georgia"/>
          <w:color w:val="000000"/>
          <w:kern w:val="0"/>
          <w:sz w:val="20"/>
          <w:szCs w:val="20"/>
        </w:rPr>
      </w:pPr>
      <w:r>
        <w:rPr>
          <w:rFonts w:ascii="Georgia" w:hAnsi="Georgia" w:cs="Georgia"/>
          <w:color w:val="000000"/>
          <w:kern w:val="0"/>
          <w:sz w:val="20"/>
          <w:szCs w:val="20"/>
        </w:rPr>
        <w:t>Broward County</w:t>
      </w:r>
    </w:p>
    <w:p w14:paraId="59CB0251" w14:textId="77777777" w:rsidR="00000000" w:rsidRDefault="00000000">
      <w:pPr>
        <w:widowControl w:val="0"/>
        <w:autoSpaceDE w:val="0"/>
        <w:autoSpaceDN w:val="0"/>
        <w:adjustRightInd w:val="0"/>
        <w:spacing w:before="200" w:after="0" w:line="240" w:lineRule="auto"/>
        <w:ind w:left="100" w:right="100"/>
        <w:jc w:val="center"/>
        <w:rPr>
          <w:rFonts w:ascii="Georgia" w:hAnsi="Georgia" w:cs="Georgia"/>
          <w:color w:val="252525"/>
          <w:kern w:val="0"/>
          <w:sz w:val="20"/>
          <w:szCs w:val="20"/>
        </w:rPr>
      </w:pPr>
      <w:r>
        <w:rPr>
          <w:rFonts w:ascii="Georgia" w:hAnsi="Georgia" w:cs="Georgia"/>
          <w:color w:val="252525"/>
          <w:kern w:val="0"/>
          <w:sz w:val="20"/>
          <w:szCs w:val="20"/>
        </w:rPr>
        <w:t>THE ESTATE OF JENNIE COE, by and through Teresa Geraldine Puello, Executor de son Tort, Plaintiff,</w:t>
      </w:r>
    </w:p>
    <w:p w14:paraId="5C24B6D0" w14:textId="77777777" w:rsidR="00000000" w:rsidRDefault="00000000">
      <w:pPr>
        <w:widowControl w:val="0"/>
        <w:autoSpaceDE w:val="0"/>
        <w:autoSpaceDN w:val="0"/>
        <w:adjustRightInd w:val="0"/>
        <w:spacing w:after="0" w:line="240" w:lineRule="auto"/>
        <w:ind w:left="100" w:right="100"/>
        <w:jc w:val="center"/>
        <w:rPr>
          <w:rFonts w:ascii="Georgia" w:hAnsi="Georgia" w:cs="Georgia"/>
          <w:color w:val="252525"/>
          <w:kern w:val="0"/>
          <w:sz w:val="20"/>
          <w:szCs w:val="20"/>
        </w:rPr>
      </w:pPr>
      <w:r>
        <w:rPr>
          <w:rFonts w:ascii="Georgia" w:hAnsi="Georgia" w:cs="Georgia"/>
          <w:color w:val="252525"/>
          <w:kern w:val="0"/>
          <w:sz w:val="20"/>
          <w:szCs w:val="20"/>
        </w:rPr>
        <w:t>v.</w:t>
      </w:r>
    </w:p>
    <w:p w14:paraId="07863E28" w14:textId="77777777" w:rsidR="00000000" w:rsidRDefault="00000000">
      <w:pPr>
        <w:widowControl w:val="0"/>
        <w:autoSpaceDE w:val="0"/>
        <w:autoSpaceDN w:val="0"/>
        <w:adjustRightInd w:val="0"/>
        <w:spacing w:after="200" w:line="240" w:lineRule="auto"/>
        <w:ind w:left="100" w:right="100"/>
        <w:jc w:val="center"/>
        <w:rPr>
          <w:rFonts w:ascii="Georgia" w:hAnsi="Georgia" w:cs="Georgia"/>
          <w:color w:val="252525"/>
          <w:kern w:val="0"/>
          <w:sz w:val="20"/>
          <w:szCs w:val="20"/>
        </w:rPr>
      </w:pPr>
      <w:r>
        <w:rPr>
          <w:rFonts w:ascii="Georgia" w:hAnsi="Georgia" w:cs="Georgia"/>
          <w:color w:val="252525"/>
          <w:kern w:val="0"/>
          <w:sz w:val="20"/>
          <w:szCs w:val="20"/>
        </w:rPr>
        <w:t>WEST BROWARD ACQUISITION I LLC; Royal Meridian Management Company, LLC; Tunecia L. Sheffield Campbell A/K/A Tunecia L. Sheffield and Seth Wiesel (as to West Broward Rehabilitation and Healthcare), Defendants.</w:t>
      </w:r>
    </w:p>
    <w:p w14:paraId="440B29EC" w14:textId="77777777" w:rsidR="00000000" w:rsidRDefault="00000000">
      <w:pPr>
        <w:widowControl w:val="0"/>
        <w:autoSpaceDE w:val="0"/>
        <w:autoSpaceDN w:val="0"/>
        <w:adjustRightInd w:val="0"/>
        <w:spacing w:after="0" w:line="240" w:lineRule="auto"/>
        <w:jc w:val="center"/>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No. CACE23022327.</w:t>
      </w:r>
    </w:p>
    <w:p w14:paraId="7B540EB5" w14:textId="77777777" w:rsidR="00000000" w:rsidRDefault="00000000">
      <w:pPr>
        <w:widowControl w:val="0"/>
        <w:autoSpaceDE w:val="0"/>
        <w:autoSpaceDN w:val="0"/>
        <w:adjustRightInd w:val="0"/>
        <w:spacing w:after="0" w:line="240" w:lineRule="auto"/>
        <w:jc w:val="center"/>
        <w:rPr>
          <w:rFonts w:ascii="Georgia" w:hAnsi="Georgia" w:cs="Georgia"/>
          <w:color w:val="000000"/>
          <w:kern w:val="0"/>
          <w:sz w:val="20"/>
          <w:szCs w:val="20"/>
        </w:rPr>
      </w:pPr>
      <w:r>
        <w:rPr>
          <w:rFonts w:ascii="Georgia" w:hAnsi="Georgia" w:cs="Georgia"/>
          <w:color w:val="000000"/>
          <w:kern w:val="0"/>
          <w:sz w:val="20"/>
          <w:szCs w:val="20"/>
        </w:rPr>
        <w:t>December 12, 2023.</w:t>
      </w:r>
    </w:p>
    <w:p w14:paraId="62C53CFF" w14:textId="77777777" w:rsidR="00000000" w:rsidRDefault="00000000">
      <w:pPr>
        <w:widowControl w:val="0"/>
        <w:autoSpaceDE w:val="0"/>
        <w:autoSpaceDN w:val="0"/>
        <w:adjustRightInd w:val="0"/>
        <w:spacing w:before="200"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Division: 18</w:t>
      </w:r>
    </w:p>
    <w:p w14:paraId="43C1FD98" w14:textId="77777777" w:rsidR="00000000" w:rsidRDefault="00000000">
      <w:pPr>
        <w:widowControl w:val="0"/>
        <w:autoSpaceDE w:val="0"/>
        <w:autoSpaceDN w:val="0"/>
        <w:adjustRightInd w:val="0"/>
        <w:spacing w:before="400" w:after="400" w:line="240" w:lineRule="auto"/>
        <w:jc w:val="center"/>
        <w:rPr>
          <w:rFonts w:ascii="Times New Roman" w:hAnsi="Times New Roman" w:cs="Times New Roman"/>
          <w:b/>
          <w:bCs/>
          <w:color w:val="000000"/>
          <w:kern w:val="0"/>
          <w:sz w:val="20"/>
          <w:szCs w:val="20"/>
        </w:rPr>
      </w:pPr>
      <w:r>
        <w:rPr>
          <w:rFonts w:ascii="Times New Roman" w:hAnsi="Times New Roman" w:cs="Times New Roman"/>
          <w:b/>
          <w:bCs/>
          <w:color w:val="000000"/>
          <w:kern w:val="0"/>
          <w:sz w:val="20"/>
          <w:szCs w:val="20"/>
        </w:rPr>
        <w:t>Complaint</w:t>
      </w:r>
    </w:p>
    <w:p w14:paraId="042A8CD6"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hyperlink r:id="rId8" w:history="1">
        <w:r>
          <w:rPr>
            <w:rFonts w:ascii="Times New Roman" w:hAnsi="Times New Roman" w:cs="Times New Roman"/>
            <w:color w:val="0E568C"/>
            <w:kern w:val="0"/>
            <w:sz w:val="20"/>
            <w:szCs w:val="20"/>
          </w:rPr>
          <w:t>A. Lance Reins</w:t>
        </w:r>
      </w:hyperlink>
      <w:r>
        <w:rPr>
          <w:rFonts w:ascii="Times New Roman" w:hAnsi="Times New Roman" w:cs="Times New Roman"/>
          <w:color w:val="000000"/>
          <w:kern w:val="0"/>
          <w:sz w:val="20"/>
          <w:szCs w:val="20"/>
        </w:rPr>
        <w:t>, Esq., Florida Bar No. 195588, Mendes, Reins &amp; Wilander, PLLC, 4401 W. Kennedy Blvd, Ste. 250, Tampa, FL 33609, Telephone: 813-535-5053, Lance@mrwlawgroup.com, alrteam@mrwlawgroup.com, for plaintiff.</w:t>
      </w:r>
    </w:p>
    <w:p w14:paraId="6F698E55" w14:textId="77777777" w:rsidR="00000000" w:rsidRDefault="00000000">
      <w:pPr>
        <w:widowControl w:val="0"/>
        <w:autoSpaceDE w:val="0"/>
        <w:autoSpaceDN w:val="0"/>
        <w:adjustRightInd w:val="0"/>
        <w:spacing w:before="200"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xml:space="preserve">Plaintiff, THE ESTATE OF JENNIE COE, by and through TERESA GERALDINE PUELLO, </w:t>
      </w:r>
      <w:r>
        <w:rPr>
          <w:rFonts w:ascii="Times New Roman" w:hAnsi="Times New Roman" w:cs="Times New Roman"/>
          <w:i/>
          <w:iCs/>
          <w:color w:val="000000"/>
          <w:kern w:val="0"/>
          <w:sz w:val="20"/>
          <w:szCs w:val="20"/>
        </w:rPr>
        <w:t>Executor de son Tort,</w:t>
      </w:r>
      <w:r>
        <w:rPr>
          <w:rFonts w:ascii="Times New Roman" w:hAnsi="Times New Roman" w:cs="Times New Roman"/>
          <w:color w:val="000000"/>
          <w:kern w:val="0"/>
          <w:sz w:val="20"/>
          <w:szCs w:val="20"/>
        </w:rPr>
        <w:t xml:space="preserve"> and by and through undersigned counsel, hereby sues Defendants, WEST BROWARD ACQUISITION I LLC; ROYAL MERIDIAN MANAGEMENT COMPANY, LLC; and TUNECIA L. SHEFFIELD CAMPBELL A/K/A TUNECIA L. SHEFFIELD AND SETH WIESEL, and alleges:</w:t>
      </w:r>
    </w:p>
    <w:p w14:paraId="3F86539B"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1F423D66" w14:textId="77777777" w:rsidR="00000000" w:rsidRDefault="00000000">
      <w:pPr>
        <w:widowControl w:val="0"/>
        <w:autoSpaceDE w:val="0"/>
        <w:autoSpaceDN w:val="0"/>
        <w:adjustRightInd w:val="0"/>
        <w:spacing w:before="400" w:after="200" w:line="240" w:lineRule="auto"/>
        <w:jc w:val="center"/>
        <w:rPr>
          <w:rFonts w:ascii="Times New Roman" w:hAnsi="Times New Roman" w:cs="Times New Roman"/>
          <w:b/>
          <w:bCs/>
          <w:color w:val="000000"/>
          <w:kern w:val="0"/>
          <w:sz w:val="20"/>
          <w:szCs w:val="20"/>
        </w:rPr>
      </w:pPr>
      <w:r>
        <w:rPr>
          <w:rFonts w:ascii="Times New Roman" w:hAnsi="Times New Roman" w:cs="Times New Roman"/>
          <w:b/>
          <w:bCs/>
          <w:color w:val="000000"/>
          <w:kern w:val="0"/>
          <w:sz w:val="20"/>
          <w:szCs w:val="20"/>
        </w:rPr>
        <w:t>JURISDICTION, PARTIES AND VENUE ALLEGATIONS</w:t>
      </w:r>
    </w:p>
    <w:p w14:paraId="4B3A2E99"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1. This is an action for damages in excess of Fifty Thousand Dollars ($50,000.00).</w:t>
      </w:r>
    </w:p>
    <w:p w14:paraId="121A746F"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1BF1796E"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2. On August 24, 2022, JENNIE COE was admitted to WEST BROWARD REHABILITATION AND HEALTHCARE, located at 7751 Broward Blvd, Plantation, FL 33324, in Broward County, where JENNIE COE remained in primary residence until she was discharged on November 1, 2022.</w:t>
      </w:r>
    </w:p>
    <w:p w14:paraId="19CC1FCB"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46EC7661"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xml:space="preserve">3. Plaintiff, TERESA GERALDINE PUELLO, is the daughter of the deceased resident, JENNIE COE and the </w:t>
      </w:r>
      <w:r>
        <w:rPr>
          <w:rFonts w:ascii="Times New Roman" w:hAnsi="Times New Roman" w:cs="Times New Roman"/>
          <w:i/>
          <w:iCs/>
          <w:color w:val="000000"/>
          <w:kern w:val="0"/>
          <w:sz w:val="20"/>
          <w:szCs w:val="20"/>
        </w:rPr>
        <w:t>Executor de son Tort</w:t>
      </w:r>
      <w:r>
        <w:rPr>
          <w:rFonts w:ascii="Times New Roman" w:hAnsi="Times New Roman" w:cs="Times New Roman"/>
          <w:color w:val="000000"/>
          <w:kern w:val="0"/>
          <w:sz w:val="20"/>
          <w:szCs w:val="20"/>
        </w:rPr>
        <w:t xml:space="preserve"> of THE ESTATE OF JENNIE COE.</w:t>
      </w:r>
    </w:p>
    <w:p w14:paraId="78863396"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4F760537"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4. WEST BROWARD REHABILITATION AND HEALTHCARE is a fictitious name owned by Defendant WEST BROWARD ACQUISITION I LLC.</w:t>
      </w:r>
    </w:p>
    <w:p w14:paraId="7DB2F541"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5577BC7E"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5. WEST BROWARD ACQUISITION I LLC held the license to operate the nursing home during JENNIE COE’s residency.</w:t>
      </w:r>
    </w:p>
    <w:p w14:paraId="6D870D9B"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7121D95C"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6. Defendant WEST BROWARD ACQUISITION I LLC, is a Florida limited liability company, with its principal place of business at 7751 West Broward Blvd, Plantation, FL 33324, which is authorized to and is doing business in Florida.</w:t>
      </w:r>
    </w:p>
    <w:p w14:paraId="3A9C8766"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220319F7"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7. Defendant ROYAL MERIDIAN MANAGEMENT COMPANY, LLC is a Florida limited liability company, with its principal place of business at 7751 West Broward Blvd, Plantation, FL 33324, which is authorized to and is doing business in Florida.</w:t>
      </w:r>
    </w:p>
    <w:p w14:paraId="6C07DE43"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04E69FC3"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xml:space="preserve">8. ROYAL MERIDIAN MANAGEMENT COMPANY, LLC contracted with, or received a fee from, WEST BROWARD </w:t>
      </w:r>
      <w:r>
        <w:rPr>
          <w:rFonts w:ascii="Times New Roman" w:hAnsi="Times New Roman" w:cs="Times New Roman"/>
          <w:color w:val="000000"/>
          <w:kern w:val="0"/>
          <w:sz w:val="20"/>
          <w:szCs w:val="20"/>
        </w:rPr>
        <w:lastRenderedPageBreak/>
        <w:t>ACQUISITION I LLC to provide the following services for WEST BROWARD REHABILITATION AND HEALTHCARE: hiring or firing of the administrator or director of nursing; controlling or having control over the staffing levels at WEST BROWARD REHABILITATION AND HEALTHCARE; having control over the budget of WEST BROWARD REHABILITATION AND HEALTHCARE; and/or implementing and enforcing the policies and procedures of WEST BROWARD REHABILITATION AND HEALTHCARE.</w:t>
      </w:r>
    </w:p>
    <w:p w14:paraId="1E8BB337"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7067015F"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xml:space="preserve">9. ROYAL MERIDIAN MANAGEMENT COMPANY, LLC is WEST BROWARD ACQUISITION I LLC’s management or consulting company as defined by </w:t>
      </w:r>
      <w:r w:rsidR="00473379">
        <w:rPr>
          <w:rFonts w:ascii="Times New Roman" w:hAnsi="Times New Roman" w:cs="Times New Roman"/>
          <w:noProof/>
          <w:color w:val="000000"/>
          <w:kern w:val="0"/>
          <w:sz w:val="20"/>
          <w:szCs w:val="20"/>
        </w:rPr>
        <w:drawing>
          <wp:inline distT="0" distB="0" distL="0" distR="0" wp14:anchorId="5FEFB929" wp14:editId="0A9F457F">
            <wp:extent cx="161290" cy="161290"/>
            <wp:effectExtent l="0" t="0" r="0" b="0"/>
            <wp:docPr id="3" name="Picture 8">
              <a:hlinkClick xmlns:a="http://schemas.openxmlformats.org/drawingml/2006/main" r:id="rId9"/>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1290" cy="161290"/>
                    </a:xfrm>
                    <a:prstGeom prst="rect">
                      <a:avLst/>
                    </a:prstGeom>
                    <a:noFill/>
                    <a:ln>
                      <a:noFill/>
                    </a:ln>
                  </pic:spPr>
                </pic:pic>
              </a:graphicData>
            </a:graphic>
          </wp:inline>
        </w:drawing>
      </w:r>
      <w:hyperlink r:id="rId11" w:history="1">
        <w:r>
          <w:rPr>
            <w:rFonts w:ascii="Times New Roman" w:hAnsi="Times New Roman" w:cs="Times New Roman"/>
            <w:color w:val="0E568C"/>
            <w:kern w:val="0"/>
            <w:sz w:val="20"/>
            <w:szCs w:val="20"/>
          </w:rPr>
          <w:t>Florida Statutes § 400.023</w:t>
        </w:r>
      </w:hyperlink>
      <w:r>
        <w:rPr>
          <w:rFonts w:ascii="Times New Roman" w:hAnsi="Times New Roman" w:cs="Times New Roman"/>
          <w:color w:val="000000"/>
          <w:kern w:val="0"/>
          <w:sz w:val="20"/>
          <w:szCs w:val="20"/>
        </w:rPr>
        <w:t>.</w:t>
      </w:r>
    </w:p>
    <w:p w14:paraId="3AAC82C9"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07223ACE"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xml:space="preserve">10. ROYAL MERIDIAN MANAGEMENT COMPANY, LLC is an entity that operated, managed and oversaw WEST BROWARD REHABILITATION AND HEALTHCARE and as such, owed a duty to JENNIE COE to exercise reasonable care according to </w:t>
      </w:r>
      <w:r w:rsidR="00473379">
        <w:rPr>
          <w:rFonts w:ascii="Times New Roman" w:hAnsi="Times New Roman" w:cs="Times New Roman"/>
          <w:noProof/>
          <w:color w:val="000000"/>
          <w:kern w:val="0"/>
          <w:sz w:val="20"/>
          <w:szCs w:val="20"/>
        </w:rPr>
        <w:drawing>
          <wp:inline distT="0" distB="0" distL="0" distR="0" wp14:anchorId="1B39C652" wp14:editId="1279FF93">
            <wp:extent cx="161290" cy="161290"/>
            <wp:effectExtent l="0" t="0" r="0" b="0"/>
            <wp:docPr id="4" name="Picture 7">
              <a:hlinkClick xmlns:a="http://schemas.openxmlformats.org/drawingml/2006/main" r:id="rId9"/>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1290" cy="161290"/>
                    </a:xfrm>
                    <a:prstGeom prst="rect">
                      <a:avLst/>
                    </a:prstGeom>
                    <a:noFill/>
                    <a:ln>
                      <a:noFill/>
                    </a:ln>
                  </pic:spPr>
                </pic:pic>
              </a:graphicData>
            </a:graphic>
          </wp:inline>
        </w:drawing>
      </w:r>
      <w:hyperlink r:id="rId12" w:history="1">
        <w:r>
          <w:rPr>
            <w:rFonts w:ascii="Times New Roman" w:hAnsi="Times New Roman" w:cs="Times New Roman"/>
            <w:color w:val="0E568C"/>
            <w:kern w:val="0"/>
            <w:sz w:val="20"/>
            <w:szCs w:val="20"/>
          </w:rPr>
          <w:t>§ 400.023(5), Florida Statutes</w:t>
        </w:r>
      </w:hyperlink>
      <w:r>
        <w:rPr>
          <w:rFonts w:ascii="Times New Roman" w:hAnsi="Times New Roman" w:cs="Times New Roman"/>
          <w:color w:val="000000"/>
          <w:kern w:val="0"/>
          <w:sz w:val="20"/>
          <w:szCs w:val="20"/>
        </w:rPr>
        <w:t>.</w:t>
      </w:r>
    </w:p>
    <w:p w14:paraId="4736A5E3"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1686C005"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11. Defendant TUNECIA L. SHEFFIELD CAMPBELL A/K/A TUNECIA L. SHEFFIELD was at times material hereto a resident of the State of Florida and the Administrator at WEST BROWARD REHABILITATION AND HEALTHCARE.</w:t>
      </w:r>
    </w:p>
    <w:p w14:paraId="4A814F64"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5DCF856B"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xml:space="preserve">12. </w:t>
      </w:r>
      <w:hyperlink r:id="rId13" w:history="1">
        <w:r>
          <w:rPr>
            <w:rFonts w:ascii="Times New Roman" w:hAnsi="Times New Roman" w:cs="Times New Roman"/>
            <w:color w:val="0E568C"/>
            <w:kern w:val="0"/>
            <w:sz w:val="20"/>
            <w:szCs w:val="20"/>
          </w:rPr>
          <w:t>Florida Administrative Code Rule 59A-4.103</w:t>
        </w:r>
      </w:hyperlink>
      <w:r>
        <w:rPr>
          <w:rFonts w:ascii="Times New Roman" w:hAnsi="Times New Roman" w:cs="Times New Roman"/>
          <w:color w:val="000000"/>
          <w:kern w:val="0"/>
          <w:sz w:val="20"/>
          <w:szCs w:val="20"/>
        </w:rPr>
        <w:t xml:space="preserve"> requires the licensee to designate an Administrator, “who oversees the day to day administration and operation of the facility.”</w:t>
      </w:r>
    </w:p>
    <w:p w14:paraId="7D3E4EC1"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5A60501A"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xml:space="preserve">13. As the Administrator, TUNECIA L. SHEFFIELD CAMPBELL A/K/A TUNECIA L. SHEFFIELD had the overall duty and responsibility pursuant to </w:t>
      </w:r>
      <w:r w:rsidR="00473379">
        <w:rPr>
          <w:rFonts w:ascii="Times New Roman" w:hAnsi="Times New Roman" w:cs="Times New Roman"/>
          <w:noProof/>
          <w:color w:val="000000"/>
          <w:kern w:val="0"/>
          <w:sz w:val="20"/>
          <w:szCs w:val="20"/>
        </w:rPr>
        <w:drawing>
          <wp:inline distT="0" distB="0" distL="0" distR="0" wp14:anchorId="6D4E5E53" wp14:editId="728591A2">
            <wp:extent cx="161290" cy="161290"/>
            <wp:effectExtent l="0" t="0" r="0" b="0"/>
            <wp:docPr id="5" name="Picture 6">
              <a:hlinkClick xmlns:a="http://schemas.openxmlformats.org/drawingml/2006/main" r:id="rId14"/>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1290" cy="161290"/>
                    </a:xfrm>
                    <a:prstGeom prst="rect">
                      <a:avLst/>
                    </a:prstGeom>
                    <a:noFill/>
                    <a:ln>
                      <a:noFill/>
                    </a:ln>
                  </pic:spPr>
                </pic:pic>
              </a:graphicData>
            </a:graphic>
          </wp:inline>
        </w:drawing>
      </w:r>
      <w:hyperlink r:id="rId15" w:history="1">
        <w:r>
          <w:rPr>
            <w:rFonts w:ascii="Times New Roman" w:hAnsi="Times New Roman" w:cs="Times New Roman"/>
            <w:color w:val="0E568C"/>
            <w:kern w:val="0"/>
            <w:sz w:val="20"/>
            <w:szCs w:val="20"/>
          </w:rPr>
          <w:t>§§ 400.141</w:t>
        </w:r>
      </w:hyperlink>
      <w:r>
        <w:rPr>
          <w:rFonts w:ascii="Times New Roman" w:hAnsi="Times New Roman" w:cs="Times New Roman"/>
          <w:color w:val="000000"/>
          <w:kern w:val="0"/>
          <w:sz w:val="20"/>
          <w:szCs w:val="20"/>
        </w:rPr>
        <w:t xml:space="preserve"> and </w:t>
      </w:r>
      <w:hyperlink r:id="rId16" w:history="1">
        <w:r>
          <w:rPr>
            <w:rFonts w:ascii="Times New Roman" w:hAnsi="Times New Roman" w:cs="Times New Roman"/>
            <w:color w:val="0E568C"/>
            <w:kern w:val="0"/>
            <w:sz w:val="20"/>
            <w:szCs w:val="20"/>
          </w:rPr>
          <w:t>400.20, Fla. Stat</w:t>
        </w:r>
      </w:hyperlink>
      <w:r>
        <w:rPr>
          <w:rFonts w:ascii="Times New Roman" w:hAnsi="Times New Roman" w:cs="Times New Roman"/>
          <w:color w:val="000000"/>
          <w:kern w:val="0"/>
          <w:sz w:val="20"/>
          <w:szCs w:val="20"/>
        </w:rPr>
        <w:t>. for making sure the nursing home complied with all Federal, State, Local laws and professional standards.</w:t>
      </w:r>
    </w:p>
    <w:p w14:paraId="3BEDD761"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2E6C673A"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14. Defendant SETH WIESEL was at times material hereto a resident of the State of Florida and the Administrator at WEST BROWARD REHABILITATION AND HEALTHCARE.</w:t>
      </w:r>
    </w:p>
    <w:p w14:paraId="0FC0DE63"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752025EC"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xml:space="preserve">15. </w:t>
      </w:r>
      <w:hyperlink r:id="rId17" w:history="1">
        <w:r>
          <w:rPr>
            <w:rFonts w:ascii="Times New Roman" w:hAnsi="Times New Roman" w:cs="Times New Roman"/>
            <w:color w:val="0E568C"/>
            <w:kern w:val="0"/>
            <w:sz w:val="20"/>
            <w:szCs w:val="20"/>
          </w:rPr>
          <w:t>Florida Administrative Code Rule 59A-4.103</w:t>
        </w:r>
      </w:hyperlink>
      <w:r>
        <w:rPr>
          <w:rFonts w:ascii="Times New Roman" w:hAnsi="Times New Roman" w:cs="Times New Roman"/>
          <w:color w:val="000000"/>
          <w:kern w:val="0"/>
          <w:sz w:val="20"/>
          <w:szCs w:val="20"/>
        </w:rPr>
        <w:t xml:space="preserve"> requires the licensee to designate an Administrator, “who oversees the day to day administration and operation of the facility.”</w:t>
      </w:r>
    </w:p>
    <w:p w14:paraId="6D5BC425"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7480B18E"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xml:space="preserve">16. As the Administrator, SETH WIESEL had the overall duty and responsibility pursuant to </w:t>
      </w:r>
      <w:r w:rsidR="00473379">
        <w:rPr>
          <w:rFonts w:ascii="Times New Roman" w:hAnsi="Times New Roman" w:cs="Times New Roman"/>
          <w:noProof/>
          <w:color w:val="000000"/>
          <w:kern w:val="0"/>
          <w:sz w:val="20"/>
          <w:szCs w:val="20"/>
        </w:rPr>
        <w:drawing>
          <wp:inline distT="0" distB="0" distL="0" distR="0" wp14:anchorId="0930DAE2" wp14:editId="3249BA4A">
            <wp:extent cx="161290" cy="161290"/>
            <wp:effectExtent l="0" t="0" r="0" b="0"/>
            <wp:docPr id="6" name="Picture 6">
              <a:hlinkClick xmlns:a="http://schemas.openxmlformats.org/drawingml/2006/main" r:id="rId14"/>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1290" cy="161290"/>
                    </a:xfrm>
                    <a:prstGeom prst="rect">
                      <a:avLst/>
                    </a:prstGeom>
                    <a:noFill/>
                    <a:ln>
                      <a:noFill/>
                    </a:ln>
                  </pic:spPr>
                </pic:pic>
              </a:graphicData>
            </a:graphic>
          </wp:inline>
        </w:drawing>
      </w:r>
      <w:hyperlink r:id="rId18" w:history="1">
        <w:r>
          <w:rPr>
            <w:rFonts w:ascii="Times New Roman" w:hAnsi="Times New Roman" w:cs="Times New Roman"/>
            <w:color w:val="0E568C"/>
            <w:kern w:val="0"/>
            <w:sz w:val="20"/>
            <w:szCs w:val="20"/>
          </w:rPr>
          <w:t>§§ 400.141</w:t>
        </w:r>
      </w:hyperlink>
      <w:r>
        <w:rPr>
          <w:rFonts w:ascii="Times New Roman" w:hAnsi="Times New Roman" w:cs="Times New Roman"/>
          <w:color w:val="000000"/>
          <w:kern w:val="0"/>
          <w:sz w:val="20"/>
          <w:szCs w:val="20"/>
        </w:rPr>
        <w:t xml:space="preserve"> and </w:t>
      </w:r>
      <w:hyperlink r:id="rId19" w:history="1">
        <w:r>
          <w:rPr>
            <w:rFonts w:ascii="Times New Roman" w:hAnsi="Times New Roman" w:cs="Times New Roman"/>
            <w:color w:val="0E568C"/>
            <w:kern w:val="0"/>
            <w:sz w:val="20"/>
            <w:szCs w:val="20"/>
          </w:rPr>
          <w:t>400.20, Fla. Stat</w:t>
        </w:r>
      </w:hyperlink>
      <w:r>
        <w:rPr>
          <w:rFonts w:ascii="Times New Roman" w:hAnsi="Times New Roman" w:cs="Times New Roman"/>
          <w:color w:val="000000"/>
          <w:kern w:val="0"/>
          <w:sz w:val="20"/>
          <w:szCs w:val="20"/>
        </w:rPr>
        <w:t>. for making sure the nursing home complied with all Federal, State, Local laws and professional standards.</w:t>
      </w:r>
    </w:p>
    <w:p w14:paraId="08288701"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15CFF2EE"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xml:space="preserve">17. Plaintiff is not pursuing any COVID-19-related claims as defined by </w:t>
      </w:r>
      <w:r w:rsidR="00473379">
        <w:rPr>
          <w:rFonts w:ascii="Times New Roman" w:hAnsi="Times New Roman" w:cs="Times New Roman"/>
          <w:noProof/>
          <w:color w:val="000000"/>
          <w:kern w:val="0"/>
          <w:sz w:val="20"/>
          <w:szCs w:val="20"/>
        </w:rPr>
        <w:drawing>
          <wp:inline distT="0" distB="0" distL="0" distR="0" wp14:anchorId="517C6679" wp14:editId="2C7415A3">
            <wp:extent cx="161290" cy="161290"/>
            <wp:effectExtent l="0" t="0" r="0" b="0"/>
            <wp:docPr id="7" name="Picture 5">
              <a:hlinkClick xmlns:a="http://schemas.openxmlformats.org/drawingml/2006/main" r:id="rId20"/>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1290" cy="161290"/>
                    </a:xfrm>
                    <a:prstGeom prst="rect">
                      <a:avLst/>
                    </a:prstGeom>
                    <a:noFill/>
                    <a:ln>
                      <a:noFill/>
                    </a:ln>
                  </pic:spPr>
                </pic:pic>
              </a:graphicData>
            </a:graphic>
          </wp:inline>
        </w:drawing>
      </w:r>
      <w:hyperlink r:id="rId21" w:history="1">
        <w:r>
          <w:rPr>
            <w:rFonts w:ascii="Times New Roman" w:hAnsi="Times New Roman" w:cs="Times New Roman"/>
            <w:color w:val="0E568C"/>
            <w:kern w:val="0"/>
            <w:sz w:val="20"/>
            <w:szCs w:val="20"/>
          </w:rPr>
          <w:t>sections 768.38</w:t>
        </w:r>
      </w:hyperlink>
      <w:r>
        <w:rPr>
          <w:rFonts w:ascii="Times New Roman" w:hAnsi="Times New Roman" w:cs="Times New Roman"/>
          <w:color w:val="000000"/>
          <w:kern w:val="0"/>
          <w:sz w:val="20"/>
          <w:szCs w:val="20"/>
        </w:rPr>
        <w:t xml:space="preserve"> and </w:t>
      </w:r>
      <w:r w:rsidR="00473379">
        <w:rPr>
          <w:rFonts w:ascii="Times New Roman" w:hAnsi="Times New Roman" w:cs="Times New Roman"/>
          <w:noProof/>
          <w:color w:val="000000"/>
          <w:kern w:val="0"/>
          <w:sz w:val="20"/>
          <w:szCs w:val="20"/>
        </w:rPr>
        <w:drawing>
          <wp:inline distT="0" distB="0" distL="0" distR="0" wp14:anchorId="7C6ED458" wp14:editId="42D534C5">
            <wp:extent cx="161290" cy="161290"/>
            <wp:effectExtent l="0" t="0" r="0" b="0"/>
            <wp:docPr id="8" name="Picture 4">
              <a:hlinkClick xmlns:a="http://schemas.openxmlformats.org/drawingml/2006/main" r:id="rId22"/>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1290" cy="161290"/>
                    </a:xfrm>
                    <a:prstGeom prst="rect">
                      <a:avLst/>
                    </a:prstGeom>
                    <a:noFill/>
                    <a:ln>
                      <a:noFill/>
                    </a:ln>
                  </pic:spPr>
                </pic:pic>
              </a:graphicData>
            </a:graphic>
          </wp:inline>
        </w:drawing>
      </w:r>
      <w:hyperlink r:id="rId23" w:history="1">
        <w:r>
          <w:rPr>
            <w:rFonts w:ascii="Times New Roman" w:hAnsi="Times New Roman" w:cs="Times New Roman"/>
            <w:color w:val="0E568C"/>
            <w:kern w:val="0"/>
            <w:sz w:val="20"/>
            <w:szCs w:val="20"/>
          </w:rPr>
          <w:t>768.381, Florida Statutes</w:t>
        </w:r>
      </w:hyperlink>
      <w:r>
        <w:rPr>
          <w:rFonts w:ascii="Times New Roman" w:hAnsi="Times New Roman" w:cs="Times New Roman"/>
          <w:color w:val="000000"/>
          <w:kern w:val="0"/>
          <w:sz w:val="20"/>
          <w:szCs w:val="20"/>
        </w:rPr>
        <w:t>, including any claim for damages, injury, or death arising from: the diagnosis or treatment of, or failure to diagnose or treat, a person for COVID-19; the provision of a novel or experimental COVID-19 treatment; the transmission of COVID-19; the delay or cancellation of a surgery or a delay or cancellation of a medical procedure, a test, or an appointment based on a health care provider’s interpretation or application of government-issued health standards or authoritative guidance specifically relating to the COVID-19 emergency; an act or omission with respect to an emergency medical condition as defined in s. 395.002, and which act or omission was the result of a lack of resources directly caused by the COVID-19 pandemic; or the provision of treatment to a patient diagnosed with COVID-19 whose injuries were directly related to an exacerbation of the patient’s preexisting conditions by COVID-19.</w:t>
      </w:r>
    </w:p>
    <w:p w14:paraId="65A74576"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5D20B820"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18. Plaintiff has performed all conditions precedent to commencement of this action.</w:t>
      </w:r>
    </w:p>
    <w:p w14:paraId="4B4491EB"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209ECC99" w14:textId="77777777" w:rsidR="00000000" w:rsidRDefault="00000000">
      <w:pPr>
        <w:widowControl w:val="0"/>
        <w:autoSpaceDE w:val="0"/>
        <w:autoSpaceDN w:val="0"/>
        <w:adjustRightInd w:val="0"/>
        <w:spacing w:before="400" w:after="200" w:line="240" w:lineRule="auto"/>
        <w:jc w:val="center"/>
        <w:rPr>
          <w:rFonts w:ascii="Times New Roman" w:hAnsi="Times New Roman" w:cs="Times New Roman"/>
          <w:b/>
          <w:bCs/>
          <w:color w:val="000000"/>
          <w:kern w:val="0"/>
          <w:sz w:val="20"/>
          <w:szCs w:val="20"/>
        </w:rPr>
      </w:pPr>
      <w:r>
        <w:rPr>
          <w:rFonts w:ascii="Times New Roman" w:hAnsi="Times New Roman" w:cs="Times New Roman"/>
          <w:b/>
          <w:bCs/>
          <w:color w:val="000000"/>
          <w:kern w:val="0"/>
          <w:sz w:val="20"/>
          <w:szCs w:val="20"/>
        </w:rPr>
        <w:t>Count I</w:t>
      </w:r>
    </w:p>
    <w:p w14:paraId="071BD676" w14:textId="77777777" w:rsidR="00000000" w:rsidRDefault="00000000">
      <w:pPr>
        <w:widowControl w:val="0"/>
        <w:autoSpaceDE w:val="0"/>
        <w:autoSpaceDN w:val="0"/>
        <w:adjustRightInd w:val="0"/>
        <w:spacing w:before="200" w:after="200" w:line="240" w:lineRule="auto"/>
        <w:jc w:val="center"/>
        <w:rPr>
          <w:rFonts w:ascii="Times New Roman" w:hAnsi="Times New Roman" w:cs="Times New Roman"/>
          <w:b/>
          <w:bCs/>
          <w:color w:val="000000"/>
          <w:kern w:val="0"/>
          <w:sz w:val="20"/>
          <w:szCs w:val="20"/>
        </w:rPr>
      </w:pPr>
      <w:r>
        <w:rPr>
          <w:rFonts w:ascii="Times New Roman" w:hAnsi="Times New Roman" w:cs="Times New Roman"/>
          <w:b/>
          <w:bCs/>
          <w:color w:val="000000"/>
          <w:kern w:val="0"/>
          <w:sz w:val="20"/>
          <w:szCs w:val="20"/>
        </w:rPr>
        <w:t>Non-Lethal Negligence Damages Against</w:t>
      </w:r>
    </w:p>
    <w:p w14:paraId="51FF2E47" w14:textId="77777777" w:rsidR="00000000" w:rsidRDefault="00000000">
      <w:pPr>
        <w:widowControl w:val="0"/>
        <w:autoSpaceDE w:val="0"/>
        <w:autoSpaceDN w:val="0"/>
        <w:adjustRightInd w:val="0"/>
        <w:spacing w:before="200" w:after="200" w:line="240" w:lineRule="auto"/>
        <w:jc w:val="center"/>
        <w:rPr>
          <w:rFonts w:ascii="Times New Roman" w:hAnsi="Times New Roman" w:cs="Times New Roman"/>
          <w:b/>
          <w:bCs/>
          <w:color w:val="000000"/>
          <w:kern w:val="0"/>
          <w:sz w:val="20"/>
          <w:szCs w:val="20"/>
        </w:rPr>
      </w:pPr>
      <w:r>
        <w:rPr>
          <w:rFonts w:ascii="Times New Roman" w:hAnsi="Times New Roman" w:cs="Times New Roman"/>
          <w:b/>
          <w:bCs/>
          <w:color w:val="000000"/>
          <w:kern w:val="0"/>
          <w:sz w:val="20"/>
          <w:szCs w:val="20"/>
        </w:rPr>
        <w:t>WEST BROWARD ACQUISITION I LLC; ROYAL MERIDIAN MANAGEMENT COMPANY, LLC; TUNECIA L. SHEFFIELD CAMPBELL A/K/A TUNECIA L. SHEFFIELD and SETH WIESEL</w:t>
      </w:r>
    </w:p>
    <w:p w14:paraId="459F4996"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lastRenderedPageBreak/>
        <w:t>19. Plaintiff re-alleges paragraphs 1 through 18 above.</w:t>
      </w:r>
    </w:p>
    <w:p w14:paraId="0AD6D9A2"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6F67E308"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xml:space="preserve">20. The acts and omissions of Defendants, as set forth herein, constitute violations of the residents’ rights of JENNIE COE, pursuant to </w:t>
      </w:r>
      <w:r w:rsidR="00473379">
        <w:rPr>
          <w:rFonts w:ascii="Times New Roman" w:hAnsi="Times New Roman" w:cs="Times New Roman"/>
          <w:noProof/>
          <w:color w:val="000000"/>
          <w:kern w:val="0"/>
          <w:sz w:val="20"/>
          <w:szCs w:val="20"/>
        </w:rPr>
        <w:drawing>
          <wp:inline distT="0" distB="0" distL="0" distR="0" wp14:anchorId="08564CB3" wp14:editId="71C92E6A">
            <wp:extent cx="161290" cy="161290"/>
            <wp:effectExtent l="0" t="0" r="0" b="0"/>
            <wp:docPr id="9" name="Picture 3">
              <a:hlinkClick xmlns:a="http://schemas.openxmlformats.org/drawingml/2006/main" r:id="rId24"/>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1290" cy="161290"/>
                    </a:xfrm>
                    <a:prstGeom prst="rect">
                      <a:avLst/>
                    </a:prstGeom>
                    <a:noFill/>
                    <a:ln>
                      <a:noFill/>
                    </a:ln>
                  </pic:spPr>
                </pic:pic>
              </a:graphicData>
            </a:graphic>
          </wp:inline>
        </w:drawing>
      </w:r>
      <w:hyperlink r:id="rId25" w:history="1">
        <w:r>
          <w:rPr>
            <w:rFonts w:ascii="Times New Roman" w:hAnsi="Times New Roman" w:cs="Times New Roman"/>
            <w:color w:val="252525"/>
            <w:kern w:val="0"/>
            <w:sz w:val="20"/>
            <w:szCs w:val="20"/>
            <w:shd w:val="clear" w:color="auto" w:fill="FFFF66"/>
          </w:rPr>
          <w:t>Florida Statute 400.022</w:t>
        </w:r>
      </w:hyperlink>
      <w:r>
        <w:rPr>
          <w:rFonts w:ascii="Times New Roman" w:hAnsi="Times New Roman" w:cs="Times New Roman"/>
          <w:color w:val="000000"/>
          <w:kern w:val="0"/>
          <w:sz w:val="20"/>
          <w:szCs w:val="20"/>
        </w:rPr>
        <w:t>.</w:t>
      </w:r>
    </w:p>
    <w:p w14:paraId="7F7D992C"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106A2326"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21. Defendants breached their duty to JENNIE COE to properly supervise staff and to ensure that any such staff exercised care consistent with the prevailing professional standards of care.</w:t>
      </w:r>
    </w:p>
    <w:p w14:paraId="52D32D83"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0A85EA16"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22. Defendants owed a duty to JENNIE COE to properly hire, retain, and supervise the administrator(s) of WEST BROWARD REHABILITATION AND HEALTHCARE and to ensure that any such licensed administrator(s) exercised care consistent with the prevailing professional standard of care for an administrator.</w:t>
      </w:r>
    </w:p>
    <w:p w14:paraId="4E720C42"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084D17A5"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23. Defendants also breached their duty to ensure there was sufficient staff to meet the needs of JENNIE COE.</w:t>
      </w:r>
    </w:p>
    <w:p w14:paraId="1090DC5A"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20622025"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24. Additionally, Defendants endangered residents, including JENNIE COE, by failing to use reasonable care in accepting and keeping residents in order to obtain maximum census levels, which allows for increased revenues.</w:t>
      </w:r>
    </w:p>
    <w:p w14:paraId="6F77EECD"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671113A0"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25. Defendants further endangered residents by failing to adjust staffing levels to meet the needs of the residents, including JENNIE COE.</w:t>
      </w:r>
    </w:p>
    <w:p w14:paraId="152AC336"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248F992E"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26. Defendants each failed to act reasonably in the provision of care for JENNIE COE by failing to ensure that JENNIE COE was provided a safe environment; failing to ensure that JENNIE COE was treated with dignity; failing to monitor significant signs and symptoms of change in JENNIE COE’s condition; failing to adequately respond to changes in physical signs and symptoms of JENNIE COE; failing to provide adequate and appropriate health care; failing to notify JENNIE COE’s treating physician of significant changes in her condition; and failing to get JENNIE COE the medical care and attention she required.</w:t>
      </w:r>
    </w:p>
    <w:p w14:paraId="33F433C8"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3A7350BB"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27. Defendants each knew or should have known that the above-described failures occurred or were likely to occur thus exposing JENNIE COE to injury.</w:t>
      </w:r>
    </w:p>
    <w:p w14:paraId="74ECDDF0"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3E0B2F62"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28. Each Defendant’s breaches of the duties owed to Plaintiff as set forth herein was the legal cause of the loss, injury and damages suffered by JENNIE COE.</w:t>
      </w:r>
    </w:p>
    <w:p w14:paraId="4E258B5B"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11600A36"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29. As a direct and proximate result of Defendants’ negligent acts and omissions, JENNIE COE suffered bodily injury and resulting pain and suffering, disability, disfigurement, mental anguish, loss of capacity for the enjoyment of life, expense of hospitalization, medical and nursing care and treatment, and aggravation of a previously existing condition.</w:t>
      </w:r>
    </w:p>
    <w:p w14:paraId="2C747F87"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0C4D2394"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WHEREFORE, Plaintiff demands judgment against the Defendants for damages as stated above and further demands a trial by jury, together with such other and further relief as this Court deems appropriate.</w:t>
      </w:r>
    </w:p>
    <w:p w14:paraId="065AADD3"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5FCB2EF3" w14:textId="77777777" w:rsidR="00000000" w:rsidRDefault="00000000">
      <w:pPr>
        <w:widowControl w:val="0"/>
        <w:autoSpaceDE w:val="0"/>
        <w:autoSpaceDN w:val="0"/>
        <w:adjustRightInd w:val="0"/>
        <w:spacing w:before="400" w:after="200" w:line="240" w:lineRule="auto"/>
        <w:jc w:val="center"/>
        <w:rPr>
          <w:rFonts w:ascii="Times New Roman" w:hAnsi="Times New Roman" w:cs="Times New Roman"/>
          <w:b/>
          <w:bCs/>
          <w:color w:val="000000"/>
          <w:kern w:val="0"/>
          <w:sz w:val="20"/>
          <w:szCs w:val="20"/>
        </w:rPr>
      </w:pPr>
      <w:r>
        <w:rPr>
          <w:rFonts w:ascii="Times New Roman" w:hAnsi="Times New Roman" w:cs="Times New Roman"/>
          <w:b/>
          <w:bCs/>
          <w:color w:val="000000"/>
          <w:kern w:val="0"/>
          <w:sz w:val="20"/>
          <w:szCs w:val="20"/>
        </w:rPr>
        <w:t>Count II</w:t>
      </w:r>
    </w:p>
    <w:p w14:paraId="10D4FC11" w14:textId="77777777" w:rsidR="00000000" w:rsidRDefault="00000000">
      <w:pPr>
        <w:widowControl w:val="0"/>
        <w:autoSpaceDE w:val="0"/>
        <w:autoSpaceDN w:val="0"/>
        <w:adjustRightInd w:val="0"/>
        <w:spacing w:before="200" w:after="200" w:line="240" w:lineRule="auto"/>
        <w:jc w:val="center"/>
        <w:rPr>
          <w:rFonts w:ascii="Times New Roman" w:hAnsi="Times New Roman" w:cs="Times New Roman"/>
          <w:b/>
          <w:bCs/>
          <w:color w:val="000000"/>
          <w:kern w:val="0"/>
          <w:sz w:val="20"/>
          <w:szCs w:val="20"/>
        </w:rPr>
      </w:pPr>
      <w:r>
        <w:rPr>
          <w:rFonts w:ascii="Times New Roman" w:hAnsi="Times New Roman" w:cs="Times New Roman"/>
          <w:b/>
          <w:bCs/>
          <w:color w:val="000000"/>
          <w:kern w:val="0"/>
          <w:sz w:val="20"/>
          <w:szCs w:val="20"/>
        </w:rPr>
        <w:t>Lethal Negligence Damages Against</w:t>
      </w:r>
    </w:p>
    <w:p w14:paraId="55D6DF35" w14:textId="77777777" w:rsidR="00000000" w:rsidRDefault="00000000">
      <w:pPr>
        <w:widowControl w:val="0"/>
        <w:autoSpaceDE w:val="0"/>
        <w:autoSpaceDN w:val="0"/>
        <w:adjustRightInd w:val="0"/>
        <w:spacing w:before="200" w:after="200" w:line="240" w:lineRule="auto"/>
        <w:jc w:val="center"/>
        <w:rPr>
          <w:rFonts w:ascii="Times New Roman" w:hAnsi="Times New Roman" w:cs="Times New Roman"/>
          <w:b/>
          <w:bCs/>
          <w:color w:val="000000"/>
          <w:kern w:val="0"/>
          <w:sz w:val="20"/>
          <w:szCs w:val="20"/>
        </w:rPr>
      </w:pPr>
      <w:r>
        <w:rPr>
          <w:rFonts w:ascii="Times New Roman" w:hAnsi="Times New Roman" w:cs="Times New Roman"/>
          <w:b/>
          <w:bCs/>
          <w:color w:val="000000"/>
          <w:kern w:val="0"/>
          <w:sz w:val="20"/>
          <w:szCs w:val="20"/>
        </w:rPr>
        <w:t>WEST BROWARD ACQUISITION I LLC; ROYAL MERIDIAN MANAGEMENT COMPANY, LLC; TUNECIA L. SHEFFIELD CAMPBELL A/K/A TUNECIA L. SHEFFIELD and SETH WIESEL</w:t>
      </w:r>
    </w:p>
    <w:p w14:paraId="2F3DD596"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30. Plaintiff re-alleges paragraphs 1 through 18 above.</w:t>
      </w:r>
    </w:p>
    <w:p w14:paraId="7237B375"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5DEC72C8"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31. This is a claim for lethal negligence seeking survival damages.</w:t>
      </w:r>
    </w:p>
    <w:p w14:paraId="52FC566B"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358C3910"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xml:space="preserve">32. The acts and omissions of Defendants, as set forth herein, constitute violations of the residents’ rights of JENNIE COE, </w:t>
      </w:r>
      <w:r>
        <w:rPr>
          <w:rFonts w:ascii="Times New Roman" w:hAnsi="Times New Roman" w:cs="Times New Roman"/>
          <w:color w:val="000000"/>
          <w:kern w:val="0"/>
          <w:sz w:val="20"/>
          <w:szCs w:val="20"/>
        </w:rPr>
        <w:lastRenderedPageBreak/>
        <w:t xml:space="preserve">pursuant to </w:t>
      </w:r>
      <w:r w:rsidR="00473379">
        <w:rPr>
          <w:rFonts w:ascii="Times New Roman" w:hAnsi="Times New Roman" w:cs="Times New Roman"/>
          <w:noProof/>
          <w:color w:val="000000"/>
          <w:kern w:val="0"/>
          <w:sz w:val="20"/>
          <w:szCs w:val="20"/>
        </w:rPr>
        <w:drawing>
          <wp:inline distT="0" distB="0" distL="0" distR="0" wp14:anchorId="4E068BF9" wp14:editId="6C34A5D9">
            <wp:extent cx="161290" cy="161290"/>
            <wp:effectExtent l="0" t="0" r="0" b="0"/>
            <wp:docPr id="10" name="Picture 2">
              <a:hlinkClick xmlns:a="http://schemas.openxmlformats.org/drawingml/2006/main" r:id="rId24"/>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1290" cy="161290"/>
                    </a:xfrm>
                    <a:prstGeom prst="rect">
                      <a:avLst/>
                    </a:prstGeom>
                    <a:noFill/>
                    <a:ln>
                      <a:noFill/>
                    </a:ln>
                  </pic:spPr>
                </pic:pic>
              </a:graphicData>
            </a:graphic>
          </wp:inline>
        </w:drawing>
      </w:r>
      <w:hyperlink r:id="rId26" w:history="1">
        <w:r>
          <w:rPr>
            <w:rFonts w:ascii="Times New Roman" w:hAnsi="Times New Roman" w:cs="Times New Roman"/>
            <w:color w:val="252525"/>
            <w:kern w:val="0"/>
            <w:sz w:val="20"/>
            <w:szCs w:val="20"/>
            <w:shd w:val="clear" w:color="auto" w:fill="FFFF66"/>
          </w:rPr>
          <w:t>Florida Statute 400.022</w:t>
        </w:r>
      </w:hyperlink>
      <w:r>
        <w:rPr>
          <w:rFonts w:ascii="Times New Roman" w:hAnsi="Times New Roman" w:cs="Times New Roman"/>
          <w:color w:val="000000"/>
          <w:kern w:val="0"/>
          <w:sz w:val="20"/>
          <w:szCs w:val="20"/>
        </w:rPr>
        <w:t>.</w:t>
      </w:r>
    </w:p>
    <w:p w14:paraId="5F75EDC2"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4A2F083D"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33. Defendants breached their duty to JENNIE COE to properly supervise staff and to ensure that any such staff exercised care consistent with the prevailing professional standard of care.</w:t>
      </w:r>
    </w:p>
    <w:p w14:paraId="095BE10F"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24D5A836"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34. Defendants owed a duty to JENNIE COE to properly hire, retain, and supervise the administrator(s) of WEST BROWARD REHABILITATION AND HEALTHCARE and to ensure that any such licensed administrator(s) exercised care consistent with the prevailing professional standard of care for an administrator.</w:t>
      </w:r>
    </w:p>
    <w:p w14:paraId="33A2D617"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08FC0C39"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35. Defendants also breached their duty to ensure there was sufficient staff to meet the needs of JENNIE COE.</w:t>
      </w:r>
    </w:p>
    <w:p w14:paraId="486D8E58"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2DFAA32E"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36. Additionally, Defendants endangered residents, including JENNIE COE, by failing to use reasonable care in accepting and keeping residents in order to obtain maximum census levels, which allows for increased revenues.</w:t>
      </w:r>
    </w:p>
    <w:p w14:paraId="0352F40E"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2069767C"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37. Defendants further endangered residents by failing to adjust staffing levels to meet the needs of the residents, including JENNIE COE.</w:t>
      </w:r>
    </w:p>
    <w:p w14:paraId="08F32BC6"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73E3024D"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38. Defendants each failed to act reasonably in the provision of care for JENNIE COE by failing to ensure that JENNIE COE was provided a safe environment; failing to ensure that JENNIE COE was treated with dignity; failing to monitor significant signs and symptoms of change in JENNIE COE’s condition; failing to adequately respond to changes in physical signs and symptoms of JENNIE COE; failing to provide adequate and appropriate health care; failing to notify JENNIE COE’s treating physician of significant changes in her condition; and failing to get JENNIE COE the medical care and attention she required.</w:t>
      </w:r>
    </w:p>
    <w:p w14:paraId="66DC26BA"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26C696D9"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39. Defendants each knew or should have known that the above-described failures occurred or were likely to occur thus exposing JENNIE COE to injury.</w:t>
      </w:r>
    </w:p>
    <w:p w14:paraId="2B95BE2D"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2AAD98CB"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40. Each Defendant’s breaches of the duties owed to Plaintiff as set forth herein was the legal cause of the loss, injury and damages suffered by JENNIE COE which included injury and death.</w:t>
      </w:r>
    </w:p>
    <w:p w14:paraId="60CB726B"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77F1686E"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41. As a direct and proximate result of Defendants’ negligent acts and omissions, JENNIE COE suffered bodily injury and resulting pain and suffering, disability, disfigurement, mental anguish, loss of capacity for the enjoyment of life, expense of hospitalization, medical and nursing care and treatment, aggravation of a previously existing condition and ultimately, JENNIE COE died on December 1, 2022.</w:t>
      </w:r>
    </w:p>
    <w:p w14:paraId="034043F1"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537B3151"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WHEREFORE, Plaintiff demands judgment against the Defendants for damages as stated above and further demands a trial by jury, together with such other and further relief as this Court deems appropriate.</w:t>
      </w:r>
    </w:p>
    <w:p w14:paraId="381FD62E"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386886D1" w14:textId="77777777" w:rsidR="00000000" w:rsidRDefault="00000000">
      <w:pPr>
        <w:widowControl w:val="0"/>
        <w:autoSpaceDE w:val="0"/>
        <w:autoSpaceDN w:val="0"/>
        <w:adjustRightInd w:val="0"/>
        <w:spacing w:before="400" w:after="200" w:line="240" w:lineRule="auto"/>
        <w:jc w:val="center"/>
        <w:rPr>
          <w:rFonts w:ascii="Times New Roman" w:hAnsi="Times New Roman" w:cs="Times New Roman"/>
          <w:b/>
          <w:bCs/>
          <w:color w:val="000000"/>
          <w:kern w:val="0"/>
          <w:sz w:val="20"/>
          <w:szCs w:val="20"/>
        </w:rPr>
      </w:pPr>
      <w:r>
        <w:rPr>
          <w:rFonts w:ascii="Times New Roman" w:hAnsi="Times New Roman" w:cs="Times New Roman"/>
          <w:b/>
          <w:bCs/>
          <w:color w:val="000000"/>
          <w:kern w:val="0"/>
          <w:sz w:val="20"/>
          <w:szCs w:val="20"/>
        </w:rPr>
        <w:t>Count III</w:t>
      </w:r>
    </w:p>
    <w:p w14:paraId="1D08CD2E" w14:textId="77777777" w:rsidR="00000000" w:rsidRDefault="00000000">
      <w:pPr>
        <w:widowControl w:val="0"/>
        <w:autoSpaceDE w:val="0"/>
        <w:autoSpaceDN w:val="0"/>
        <w:adjustRightInd w:val="0"/>
        <w:spacing w:before="200" w:after="200" w:line="240" w:lineRule="auto"/>
        <w:jc w:val="center"/>
        <w:rPr>
          <w:rFonts w:ascii="Times New Roman" w:hAnsi="Times New Roman" w:cs="Times New Roman"/>
          <w:b/>
          <w:bCs/>
          <w:color w:val="000000"/>
          <w:kern w:val="0"/>
          <w:sz w:val="20"/>
          <w:szCs w:val="20"/>
        </w:rPr>
      </w:pPr>
      <w:r>
        <w:rPr>
          <w:rFonts w:ascii="Times New Roman" w:hAnsi="Times New Roman" w:cs="Times New Roman"/>
          <w:b/>
          <w:bCs/>
          <w:color w:val="000000"/>
          <w:kern w:val="0"/>
          <w:sz w:val="20"/>
          <w:szCs w:val="20"/>
        </w:rPr>
        <w:t>Wrongful Death Damages Against</w:t>
      </w:r>
    </w:p>
    <w:p w14:paraId="75B41B99" w14:textId="77777777" w:rsidR="00000000" w:rsidRDefault="00000000">
      <w:pPr>
        <w:widowControl w:val="0"/>
        <w:autoSpaceDE w:val="0"/>
        <w:autoSpaceDN w:val="0"/>
        <w:adjustRightInd w:val="0"/>
        <w:spacing w:before="200" w:after="200" w:line="240" w:lineRule="auto"/>
        <w:jc w:val="center"/>
        <w:rPr>
          <w:rFonts w:ascii="Times New Roman" w:hAnsi="Times New Roman" w:cs="Times New Roman"/>
          <w:b/>
          <w:bCs/>
          <w:color w:val="000000"/>
          <w:kern w:val="0"/>
          <w:sz w:val="20"/>
          <w:szCs w:val="20"/>
        </w:rPr>
      </w:pPr>
      <w:r>
        <w:rPr>
          <w:rFonts w:ascii="Times New Roman" w:hAnsi="Times New Roman" w:cs="Times New Roman"/>
          <w:b/>
          <w:bCs/>
          <w:color w:val="000000"/>
          <w:kern w:val="0"/>
          <w:sz w:val="20"/>
          <w:szCs w:val="20"/>
        </w:rPr>
        <w:t>WEST BROWARD ACQUISITION I LLC; ROYAL MERIDIAN MANAGEMENT COMPANY, LLC; TUNECIA L. SHEFFIELD CAMPBELL A/K/A TUNECIA L. SHEFFIELD and SETH WIESEL</w:t>
      </w:r>
    </w:p>
    <w:p w14:paraId="1993BE23"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42. Plaintiff re-alleges paragraphs 1 through 18 above.</w:t>
      </w:r>
    </w:p>
    <w:p w14:paraId="53F1FA70"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05217D99"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43. This is a claim for lethal negligence seeking wrongful death damages.</w:t>
      </w:r>
    </w:p>
    <w:p w14:paraId="70DC0110"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4321C2A4"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xml:space="preserve">44. The acts and omissions of Defendants, as set forth herein, constitute violations of the residents’ rights of JENNIE COE, pursuant to </w:t>
      </w:r>
      <w:r w:rsidR="00473379">
        <w:rPr>
          <w:rFonts w:ascii="Times New Roman" w:hAnsi="Times New Roman" w:cs="Times New Roman"/>
          <w:noProof/>
          <w:color w:val="000000"/>
          <w:kern w:val="0"/>
          <w:sz w:val="20"/>
          <w:szCs w:val="20"/>
        </w:rPr>
        <w:drawing>
          <wp:inline distT="0" distB="0" distL="0" distR="0" wp14:anchorId="3ACB603B" wp14:editId="27378E94">
            <wp:extent cx="161290" cy="161290"/>
            <wp:effectExtent l="0" t="0" r="0" b="0"/>
            <wp:docPr id="11" name="Picture 1">
              <a:hlinkClick xmlns:a="http://schemas.openxmlformats.org/drawingml/2006/main" r:id="rId24"/>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1290" cy="161290"/>
                    </a:xfrm>
                    <a:prstGeom prst="rect">
                      <a:avLst/>
                    </a:prstGeom>
                    <a:noFill/>
                    <a:ln>
                      <a:noFill/>
                    </a:ln>
                  </pic:spPr>
                </pic:pic>
              </a:graphicData>
            </a:graphic>
          </wp:inline>
        </w:drawing>
      </w:r>
      <w:hyperlink r:id="rId27" w:history="1">
        <w:r>
          <w:rPr>
            <w:rFonts w:ascii="Times New Roman" w:hAnsi="Times New Roman" w:cs="Times New Roman"/>
            <w:color w:val="252525"/>
            <w:kern w:val="0"/>
            <w:sz w:val="20"/>
            <w:szCs w:val="20"/>
            <w:shd w:val="clear" w:color="auto" w:fill="FFFF66"/>
          </w:rPr>
          <w:t>Florida Statute 400.022</w:t>
        </w:r>
      </w:hyperlink>
      <w:r>
        <w:rPr>
          <w:rFonts w:ascii="Times New Roman" w:hAnsi="Times New Roman" w:cs="Times New Roman"/>
          <w:color w:val="000000"/>
          <w:kern w:val="0"/>
          <w:sz w:val="20"/>
          <w:szCs w:val="20"/>
        </w:rPr>
        <w:t>.</w:t>
      </w:r>
    </w:p>
    <w:p w14:paraId="0134E2C7"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64EC8D8F"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lastRenderedPageBreak/>
        <w:t>45. Defendants breached their duty to JENNIE COE to properly supervise staff and to ensure that any such staff exercised care consistent with the prevailing professional standard of care.</w:t>
      </w:r>
    </w:p>
    <w:p w14:paraId="61FF99AA"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25B6F796"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46. Defendants owed a duty to JENNIE COE to properly hire, retain, and supervise the administrator(s) of WEST BROWARD REHABILITATION AND HEALTHCARE and to ensure that any such licensed administrator(s) exercised care consistent with the prevailing professional standard of care for an administrator.</w:t>
      </w:r>
    </w:p>
    <w:p w14:paraId="7744ED63"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2A53DC23"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47. Defendants also breached their duty to ensure there was sufficient staff to meet the needs of JENNIE COE.</w:t>
      </w:r>
    </w:p>
    <w:p w14:paraId="6E30F737"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6788E447"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48. Additionally, Defendants endangered residents, including JENNIE COE, by failing to use reasonable care in accepting and keeping residents in order to obtain maximum census levels, which allows for increased revenues.</w:t>
      </w:r>
    </w:p>
    <w:p w14:paraId="09AA55D5"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66AB7E47"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49. Defendants further endangered residents by failing to adjust staffing levels to meet the needs of the residents, including JENNIE COE.</w:t>
      </w:r>
    </w:p>
    <w:p w14:paraId="5C1868F2"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2F7EEF1F"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50. Defendants each failed to act reasonably in the provision of care for JENNIE COE by failing to ensure that JENNIE COE was provided a safe environment; failing to ensure that JENNIE COE was treated with dignity; failing to monitor significant signs and symptoms of change in JENNIE COE’s condition; failing to adequately respond to changes in physical signs and symptoms of JENNIE COE; failing to provide adequate and appropriate health care; failing to notify JENNIE COE’s treating physician of significant changes in her condition; and failing to get JENNIE COE the medical care and attention she required.</w:t>
      </w:r>
    </w:p>
    <w:p w14:paraId="33A83E9F"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587722BE"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51. Defendants each knew or should have known that the above-described failures occurred or were likely to occur thus exposing JENNIE COE to injury.</w:t>
      </w:r>
    </w:p>
    <w:p w14:paraId="6D7CA9B7"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6287B163"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52. Each Defendant’s breach of the duties owed to Plaintiff as set forth herein was the legal cause of the loss, injury and damages suffered by JENNIE COE which included injury and death.</w:t>
      </w:r>
    </w:p>
    <w:p w14:paraId="0AAD0FFD"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2C4B1B67"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53. As a direct and proximate result of Defendants’ negligent acts and omissions, JENNIE COE died on December 1, 2022.</w:t>
      </w:r>
    </w:p>
    <w:p w14:paraId="586704A0"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03294F89"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54. As a direct and proximate result of the Defendants’ acts and omissions, which resulted in the death of JENNIE COE, THE ESTATE OF JENNIE COE has incurred extensive medical, nursing, funeral, and other expenses.</w:t>
      </w:r>
    </w:p>
    <w:p w14:paraId="62DCF357"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51702FC4"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55. JENNIE COE died with surviving children, Teresa Geraldine Puello, Delmar Salomon, Martina Harris, Delia Armstrong-Bennett, Jaime Rafael Watson Coe, Jacquelin Haig Coe, Cecilia Armstrong, Diana Coe and Carlos Michael Haig, all of whom are potential beneficiaries of a recovery for wrongful death.</w:t>
      </w:r>
    </w:p>
    <w:p w14:paraId="57E556E8"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1443E0EB"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56. As a result of the death of JENNIE COE, Teresa Geraldine Puello, Delmar Salomon, Martina Harris, Delia Armstrong-Bennett, Jaime Rafael Watson Coe, Jacquelin Haig Coe, Cecilia Armstrong, Diana Coe and Carlos Michael Haig suffered loss of support and services and will suffer such losses in the future, loss of parental companionship, instruction and guidance, and mental pain and suffering.</w:t>
      </w:r>
    </w:p>
    <w:p w14:paraId="0B185AA9"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405ABD37"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xml:space="preserve">57. TERESA GERALDINE PUELLO is the </w:t>
      </w:r>
      <w:r>
        <w:rPr>
          <w:rFonts w:ascii="Times New Roman" w:hAnsi="Times New Roman" w:cs="Times New Roman"/>
          <w:i/>
          <w:iCs/>
          <w:color w:val="000000"/>
          <w:kern w:val="0"/>
          <w:sz w:val="20"/>
          <w:szCs w:val="20"/>
        </w:rPr>
        <w:t>Executor de son Tort</w:t>
      </w:r>
      <w:r>
        <w:rPr>
          <w:rFonts w:ascii="Times New Roman" w:hAnsi="Times New Roman" w:cs="Times New Roman"/>
          <w:color w:val="000000"/>
          <w:kern w:val="0"/>
          <w:sz w:val="20"/>
          <w:szCs w:val="20"/>
        </w:rPr>
        <w:t xml:space="preserve"> of THE ESTATE OF JENNIE COE. On behalf of THE ESTATE OF JENNIE COE, TERESA GERALDINE PUELLO seeks recovery of medical and funeral expenses chargeable to the Estate.</w:t>
      </w:r>
    </w:p>
    <w:p w14:paraId="7419CD2E"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1CE154A0"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WHEREFORE, Plaintiff demands judgment against the Defendant for damages as stated above and further demands a trial by jury, together with such other and further relief as this Court deems appropriate.</w:t>
      </w:r>
    </w:p>
    <w:p w14:paraId="0B783BCB"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1E9AA108" w14:textId="77777777" w:rsidR="00000000" w:rsidRDefault="00000000">
      <w:pPr>
        <w:widowControl w:val="0"/>
        <w:autoSpaceDE w:val="0"/>
        <w:autoSpaceDN w:val="0"/>
        <w:adjustRightInd w:val="0"/>
        <w:spacing w:before="400" w:after="200" w:line="240" w:lineRule="auto"/>
        <w:jc w:val="center"/>
        <w:rPr>
          <w:rFonts w:ascii="Times New Roman" w:hAnsi="Times New Roman" w:cs="Times New Roman"/>
          <w:b/>
          <w:bCs/>
          <w:color w:val="000000"/>
          <w:kern w:val="0"/>
          <w:sz w:val="20"/>
          <w:szCs w:val="20"/>
        </w:rPr>
      </w:pPr>
      <w:r>
        <w:rPr>
          <w:rFonts w:ascii="Times New Roman" w:hAnsi="Times New Roman" w:cs="Times New Roman"/>
          <w:b/>
          <w:bCs/>
          <w:color w:val="000000"/>
          <w:kern w:val="0"/>
          <w:sz w:val="20"/>
          <w:szCs w:val="20"/>
        </w:rPr>
        <w:t>Count IV</w:t>
      </w:r>
    </w:p>
    <w:p w14:paraId="2D2071EB" w14:textId="77777777" w:rsidR="00000000" w:rsidRDefault="00000000">
      <w:pPr>
        <w:widowControl w:val="0"/>
        <w:autoSpaceDE w:val="0"/>
        <w:autoSpaceDN w:val="0"/>
        <w:adjustRightInd w:val="0"/>
        <w:spacing w:before="200" w:after="200" w:line="240" w:lineRule="auto"/>
        <w:jc w:val="center"/>
        <w:rPr>
          <w:rFonts w:ascii="Times New Roman" w:hAnsi="Times New Roman" w:cs="Times New Roman"/>
          <w:b/>
          <w:bCs/>
          <w:color w:val="000000"/>
          <w:kern w:val="0"/>
          <w:sz w:val="20"/>
          <w:szCs w:val="20"/>
        </w:rPr>
      </w:pPr>
      <w:r>
        <w:rPr>
          <w:rFonts w:ascii="Times New Roman" w:hAnsi="Times New Roman" w:cs="Times New Roman"/>
          <w:b/>
          <w:bCs/>
          <w:color w:val="000000"/>
          <w:kern w:val="0"/>
          <w:sz w:val="20"/>
          <w:szCs w:val="20"/>
        </w:rPr>
        <w:t>Breach of Fiduciary Duty</w:t>
      </w:r>
    </w:p>
    <w:p w14:paraId="50BF1F2F" w14:textId="77777777" w:rsidR="00000000" w:rsidRDefault="00000000">
      <w:pPr>
        <w:widowControl w:val="0"/>
        <w:autoSpaceDE w:val="0"/>
        <w:autoSpaceDN w:val="0"/>
        <w:adjustRightInd w:val="0"/>
        <w:spacing w:before="200" w:after="200" w:line="240" w:lineRule="auto"/>
        <w:jc w:val="center"/>
        <w:rPr>
          <w:rFonts w:ascii="Times New Roman" w:hAnsi="Times New Roman" w:cs="Times New Roman"/>
          <w:b/>
          <w:bCs/>
          <w:color w:val="000000"/>
          <w:kern w:val="0"/>
          <w:sz w:val="20"/>
          <w:szCs w:val="20"/>
        </w:rPr>
      </w:pPr>
      <w:r>
        <w:rPr>
          <w:rFonts w:ascii="Times New Roman" w:hAnsi="Times New Roman" w:cs="Times New Roman"/>
          <w:b/>
          <w:bCs/>
          <w:color w:val="000000"/>
          <w:kern w:val="0"/>
          <w:sz w:val="20"/>
          <w:szCs w:val="20"/>
        </w:rPr>
        <w:lastRenderedPageBreak/>
        <w:t>WEST BROWARD ACQUISITION I LLC</w:t>
      </w:r>
    </w:p>
    <w:p w14:paraId="4F1C2D9B"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58. Plaintiff re-alleges and incorporates herein by reference paragraphs 1 through 18 above.</w:t>
      </w:r>
    </w:p>
    <w:p w14:paraId="070E83DB"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52E5154A"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59. This is a claim that presents a theory of recovery based upon the presence of a fiduciary duty owed by Defendant WEST BROWARD ACQUISITION I LLC, exclusive of and in addition to all rights encompassed in negligence or Chapter 400, Fla. Stat.</w:t>
      </w:r>
    </w:p>
    <w:p w14:paraId="396EA295"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645FFAC7"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60. At all times material, JENNIE COE was incapable of independently providing for all of her necessary care and services to attain and maintain the highest practicable physical, mental, and psychosocial well-being.</w:t>
      </w:r>
    </w:p>
    <w:p w14:paraId="51249D87"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04BC19D7"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61. JENNIE COE was incapable of dealing with WEST BROWARD ACQUISITION I LLC on equal terms, and was incapable of engaging in any arm’s length relationships with WEST BROWARD ACQUISITION I LLC.</w:t>
      </w:r>
    </w:p>
    <w:p w14:paraId="3F37FFC2"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625B8739"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62. JENNIE COE placed a special confidence and trust in WEST BROWARD ACQUISITION I LLC to provide for all of her necessary care and services to attain and maintain the highest practicable physical, mental, and psychosocial well-being. JENNIE COE also relied on WEST BROWARD ACQUISITION I LLC to provide such care and services.</w:t>
      </w:r>
    </w:p>
    <w:p w14:paraId="6C5F7610"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25413448"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63. WEST BROWARD ACQUISITION I LLC accepted the special confidence and trust placed upon them by JENNIE COE by admitting her into WEST BROWARD REHABILITATION AND HEALTHCARE and by reserving the right to specifically determine the level of care, protection, and services that would be provided to JENNIE COE.</w:t>
      </w:r>
    </w:p>
    <w:p w14:paraId="517F7A5C"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2285EAD9"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64. WEST BROWARD ACQUISITION I LLC individually and collectively controlled, oversaw and orchestrated every single aspect of JENNIE COE’s existence, from the mundane (such as the clothing worn) to the vital (such as determining when and how healthcare would be provided, as well as how much food and water JENNIE COE could consume).</w:t>
      </w:r>
    </w:p>
    <w:p w14:paraId="068F4EFE"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42D616AD"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65. JENNIE COE was solely and particularly dependent upon the employees, officers, directors, and agents of WEST BROWARD ACQUISITION I LLC to provide for her daily care, protection, services, and personal and intimate needs.</w:t>
      </w:r>
    </w:p>
    <w:p w14:paraId="2A30D1BA"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2DEA8F1C"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66. WEST BROWARD ACQUISITION I LLC developed a special relationship with JENNIE COE by virtue of the nature of the care and services provided, the supposedly superior knowledge, skill and abilities, the enormous disparity of power and unequal bargaining position, Defendant WEST BROWARD ACQUISITION I LLC, enjoyed over JENNIE COE, as well as her inability to care for and provide for herself.</w:t>
      </w:r>
    </w:p>
    <w:p w14:paraId="1A80E40A"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5DB91651"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67. This special relationship allowed Defendant WEST BROWARD ACQUISITION I LLC, to occupy a position of confidence toward JENNIE COE, which required fidelity, loyalty, good faith, and fair dealing by Defendant WEST BROWARD ACQUISITION I LLC. Additionally, WEST BROWARD ACQUISITION I LLC had a duty to refrain from engaging in self-dealing.</w:t>
      </w:r>
    </w:p>
    <w:p w14:paraId="209A1498"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5214C5A9"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68. WEST BROWARD ACQUISITION I LLC systematically accepted monies intended for the provision of care and services to the residents, including JENNIE COE, while representing that WEST BROWARD ACQUISITION I LLC would provide the full value of the care and services as required.</w:t>
      </w:r>
    </w:p>
    <w:p w14:paraId="01EFD850"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694A2876"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69. At all times material to this action, WEST BROWARD ACQUISITION I LLC was a fiduciary of JENNIE COE.</w:t>
      </w:r>
    </w:p>
    <w:p w14:paraId="5CFF27EF"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43ABF056"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70. At all times material to this action, WEST BROWARD ACQUISITION I LLC owed a fiduciary duty to JENNIE COE.</w:t>
      </w:r>
    </w:p>
    <w:p w14:paraId="362FFE64"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6A3F126D"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71. Defendant WEST BROWARD ACQUISITION I LLC failed to provide the full value of care and services as promised and as required.</w:t>
      </w:r>
    </w:p>
    <w:p w14:paraId="10B2C01C"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3480A3DA"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72. Defendant WEST BROWARD ACQUISITION I LLC, acted and failed to act in material breach of the duties owed to JENNIE COE and to the direct detriment of residents, including JENNIE COE. Instead, WEST BROWARD ACQUISITION I LLC acted or failed to act in ways to promote its own interests and in ways in contravention of the interests of the residents, including JENNIE COE.</w:t>
      </w:r>
    </w:p>
    <w:p w14:paraId="461AA615"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07623CD6"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lastRenderedPageBreak/>
        <w:t>73. WEST BROWARD ACQUISITION I LLC breached and violated its relationship of trust, special confidence, and its fiduciary obligations and duties owed to JENNIE COE by:</w:t>
      </w:r>
    </w:p>
    <w:p w14:paraId="5EC4A2F9"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a) allowing the use of revenues and assets obtained from residents and their payor sources for inflated, unreasonable and improper inter-company fees and transfers designed and created for the benefit of WEST BROWARD ACQUISITION I LLC’s affiliates, parents, owners and corporate entities, instead of utilizing said resources effectively and efficiently to attain or maintain the highest practicable physical, mental, and psychosocial well-being of each resident, including JENNIE COE as required; and,</w:t>
      </w:r>
    </w:p>
    <w:p w14:paraId="38AD245E"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6558F1EE"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b) entering into numerous contracts that were for the benefit of WEST BROWARD ACQUISITION I LLC, its owners and operators and worked to the detriment of residents, including, but not limited to, lease and sub-lease agreements, back office agreements, pharmacy goods and services agreements, management agreements, and therapy services agreements.</w:t>
      </w:r>
    </w:p>
    <w:p w14:paraId="204611C0"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3B23C7DF"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66B776AC"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74. In violating its fiduciary obligations and duties to JENNIE COE, as referenced herein, WEST BROWARD ACQUISITION I LLC knew, or should have known, that JENNIE COE would suffer harm.</w:t>
      </w:r>
    </w:p>
    <w:p w14:paraId="27509B53"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5A6375C6"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75. Defendant WEST BROWARD ACQUISITION I LLC’s breaches of the duties owed to JENNIE COE, as set forth herein were the legal cause of the loss, injury and damages suffered by JENNIE COE.</w:t>
      </w:r>
    </w:p>
    <w:p w14:paraId="34AA16BB"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7C36C9B0"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WHEREFORE, Plaintiff demands judgment for disgorgement of profits and any consequential damages against WEST BROWARD ACQUISITION I LLC and further demands a trial by jury together with such other and further relief as this Court deems appropriate.</w:t>
      </w:r>
    </w:p>
    <w:p w14:paraId="5CE46942"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41A700A3" w14:textId="77777777" w:rsidR="00000000" w:rsidRDefault="00000000">
      <w:pPr>
        <w:widowControl w:val="0"/>
        <w:autoSpaceDE w:val="0"/>
        <w:autoSpaceDN w:val="0"/>
        <w:adjustRightInd w:val="0"/>
        <w:spacing w:before="400" w:after="200" w:line="240" w:lineRule="auto"/>
        <w:jc w:val="center"/>
        <w:rPr>
          <w:rFonts w:ascii="Times New Roman" w:hAnsi="Times New Roman" w:cs="Times New Roman"/>
          <w:b/>
          <w:bCs/>
          <w:color w:val="000000"/>
          <w:kern w:val="0"/>
          <w:sz w:val="20"/>
          <w:szCs w:val="20"/>
        </w:rPr>
      </w:pPr>
      <w:r>
        <w:rPr>
          <w:rFonts w:ascii="Times New Roman" w:hAnsi="Times New Roman" w:cs="Times New Roman"/>
          <w:b/>
          <w:bCs/>
          <w:color w:val="000000"/>
          <w:kern w:val="0"/>
          <w:sz w:val="20"/>
          <w:szCs w:val="20"/>
        </w:rPr>
        <w:t>Count V</w:t>
      </w:r>
    </w:p>
    <w:p w14:paraId="3ED04A20" w14:textId="77777777" w:rsidR="00000000" w:rsidRDefault="00000000">
      <w:pPr>
        <w:widowControl w:val="0"/>
        <w:autoSpaceDE w:val="0"/>
        <w:autoSpaceDN w:val="0"/>
        <w:adjustRightInd w:val="0"/>
        <w:spacing w:before="200" w:after="200" w:line="240" w:lineRule="auto"/>
        <w:jc w:val="center"/>
        <w:rPr>
          <w:rFonts w:ascii="Times New Roman" w:hAnsi="Times New Roman" w:cs="Times New Roman"/>
          <w:b/>
          <w:bCs/>
          <w:color w:val="000000"/>
          <w:kern w:val="0"/>
          <w:sz w:val="20"/>
          <w:szCs w:val="20"/>
        </w:rPr>
      </w:pPr>
      <w:r>
        <w:rPr>
          <w:rFonts w:ascii="Times New Roman" w:hAnsi="Times New Roman" w:cs="Times New Roman"/>
          <w:b/>
          <w:bCs/>
          <w:color w:val="000000"/>
          <w:kern w:val="0"/>
          <w:sz w:val="20"/>
          <w:szCs w:val="20"/>
        </w:rPr>
        <w:t xml:space="preserve">Violations of </w:t>
      </w:r>
      <w:hyperlink r:id="rId28" w:history="1">
        <w:r>
          <w:rPr>
            <w:rFonts w:ascii="Times New Roman" w:hAnsi="Times New Roman" w:cs="Times New Roman"/>
            <w:b/>
            <w:bCs/>
            <w:color w:val="0E568C"/>
            <w:kern w:val="0"/>
            <w:sz w:val="20"/>
            <w:szCs w:val="20"/>
          </w:rPr>
          <w:t>Florida Statutes § 415.1111</w:t>
        </w:r>
      </w:hyperlink>
      <w:r>
        <w:rPr>
          <w:rFonts w:ascii="Times New Roman" w:hAnsi="Times New Roman" w:cs="Times New Roman"/>
          <w:b/>
          <w:bCs/>
          <w:color w:val="000000"/>
          <w:kern w:val="0"/>
          <w:sz w:val="20"/>
          <w:szCs w:val="20"/>
        </w:rPr>
        <w:t xml:space="preserve"> TUNECIA L. SHEFFIELD CAMPBELL A/K/A TUNECIA L. SHEFFIELD; and SETH WIESEL</w:t>
      </w:r>
    </w:p>
    <w:p w14:paraId="57B89074"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76. Plaintiff re-alleges and incorporates herein by reference paragraphs 1 through 18 above.</w:t>
      </w:r>
    </w:p>
    <w:p w14:paraId="5E8AA262"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07846731"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77. For the purposes of this count and only this count, it is not alleged that each Defendant was a licensee or entity that established, controlled, conducted, managed or operated WEST BROWARD REHABILITATION AND HEALTHCARE.</w:t>
      </w:r>
    </w:p>
    <w:p w14:paraId="7D777141"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6A40BC21"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78. JENNIE COE was at all relevant times a vulnerable adult with a long-term disability. She was over eighteen (18) years of age and was unable to perform the normal activities of daily living or to provide for her own care or protection due to her disability.</w:t>
      </w:r>
    </w:p>
    <w:p w14:paraId="507E1F05"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1178E546"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xml:space="preserve">79. Each Defendant’s acts or omissions constitute exploitation of a vulnerable adult in violation of </w:t>
      </w:r>
      <w:hyperlink r:id="rId29" w:history="1">
        <w:r>
          <w:rPr>
            <w:rFonts w:ascii="Times New Roman" w:hAnsi="Times New Roman" w:cs="Times New Roman"/>
            <w:color w:val="0E568C"/>
            <w:kern w:val="0"/>
            <w:sz w:val="20"/>
            <w:szCs w:val="20"/>
          </w:rPr>
          <w:t>§ 415.1111, Florida Statutes</w:t>
        </w:r>
      </w:hyperlink>
      <w:r>
        <w:rPr>
          <w:rFonts w:ascii="Times New Roman" w:hAnsi="Times New Roman" w:cs="Times New Roman"/>
          <w:color w:val="000000"/>
          <w:kern w:val="0"/>
          <w:sz w:val="20"/>
          <w:szCs w:val="20"/>
        </w:rPr>
        <w:t>.</w:t>
      </w:r>
    </w:p>
    <w:p w14:paraId="66007BD4"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3B9B6635"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80. Each Defendant knew or should have known that JENNIE COE lacked the capacity to consent, but Defendants obtained or used, or endeavored to obtain or use JENNIE COE’s funds, assets or property, including Medicare and Medicaid benefits, with the intent to temporarily or permanently deprive JENNIE COE of the use, benefit or possession of the funds, assets, or property for the benefit of someone other than JENNIE COE.</w:t>
      </w:r>
    </w:p>
    <w:p w14:paraId="53ACD233"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2808CB4A"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81. Each Defendant failed or refused to effectively use JENNIE COE’s income or assets for the necessities required for her support and maintenance.</w:t>
      </w:r>
    </w:p>
    <w:p w14:paraId="746BAAC6"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6183666A"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82. Each Defendant received money Defendants should have known would deprive WEST BROWARD REHABILITATION AND HEALTHCARE of adequate resources to provide the necessities of JENNIE COE’s support and maintenance.</w:t>
      </w:r>
    </w:p>
    <w:p w14:paraId="08FCCD59"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655E84D4"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xml:space="preserve">83. The monies Defendants received was derived from JENNIE COE’s assets or funds, including disability benefits and </w:t>
      </w:r>
      <w:r>
        <w:rPr>
          <w:rFonts w:ascii="Times New Roman" w:hAnsi="Times New Roman" w:cs="Times New Roman"/>
          <w:color w:val="000000"/>
          <w:kern w:val="0"/>
          <w:sz w:val="20"/>
          <w:szCs w:val="20"/>
        </w:rPr>
        <w:lastRenderedPageBreak/>
        <w:t>Medicaid and/or Medicare funds, which were paid to Defendants for the sole purpose of providing for the support and maintenance of JENNIE COE.</w:t>
      </w:r>
    </w:p>
    <w:p w14:paraId="761AAD60"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787A3F72"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84. Defendants’ failure or refusal to effectively use JENNIE COE’s income or assets as set forth herein, was the proximate cause of the losses she suffered including, but not limited to the use, benefit, or possession of the funds, assets or property for her benefit.</w:t>
      </w:r>
    </w:p>
    <w:p w14:paraId="04E0F71F"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457519BB"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WHEREFORE, Plaintiff demands judgment against Defendants, disgorgement of profits, consequential damages, attorneys’ fees and costs, pre-judgment interest, trial by jury of all matters so triable, and such other relief this Court deems appropriate.</w:t>
      </w:r>
    </w:p>
    <w:p w14:paraId="386900FD"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2F57AC86" w14:textId="77777777" w:rsidR="00000000" w:rsidRDefault="00000000">
      <w:pPr>
        <w:widowControl w:val="0"/>
        <w:autoSpaceDE w:val="0"/>
        <w:autoSpaceDN w:val="0"/>
        <w:adjustRightInd w:val="0"/>
        <w:spacing w:after="0" w:line="240" w:lineRule="auto"/>
        <w:jc w:val="both"/>
        <w:rPr>
          <w:rFonts w:ascii="Times New Roman" w:hAnsi="Times New Roman" w:cs="Times New Roman"/>
          <w:i/>
          <w:iCs/>
          <w:color w:val="000000"/>
          <w:kern w:val="0"/>
          <w:sz w:val="20"/>
          <w:szCs w:val="20"/>
          <w:u w:val="single"/>
        </w:rPr>
      </w:pPr>
      <w:r>
        <w:rPr>
          <w:rFonts w:ascii="Times New Roman" w:hAnsi="Times New Roman" w:cs="Times New Roman"/>
          <w:i/>
          <w:iCs/>
          <w:color w:val="000000"/>
          <w:kern w:val="0"/>
          <w:sz w:val="20"/>
          <w:szCs w:val="20"/>
          <w:u w:val="single"/>
        </w:rPr>
        <w:t>/s/ A. Lance Reins</w:t>
      </w:r>
    </w:p>
    <w:p w14:paraId="51825683"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103DC486"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A. Lance Reins, Esq.</w:t>
      </w:r>
    </w:p>
    <w:p w14:paraId="2CA8EF7E"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67F8920F"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Florida Bar No. 195588</w:t>
      </w:r>
    </w:p>
    <w:p w14:paraId="460828C2"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4210761D"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MENDES, REINS &amp; WILANDER, PLLC</w:t>
      </w:r>
    </w:p>
    <w:p w14:paraId="0C9015FF"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0EA89ADA"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4401 W. Kennedy Blvd, Ste. 250</w:t>
      </w:r>
    </w:p>
    <w:p w14:paraId="75494E0C"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18440CAF"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Tampa, FL 33609</w:t>
      </w:r>
    </w:p>
    <w:p w14:paraId="05A765D4"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01FA17BD"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Telephone: 813-535-5053</w:t>
      </w:r>
    </w:p>
    <w:p w14:paraId="726D5718"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67B31EB7"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u w:val="single"/>
        </w:rPr>
      </w:pPr>
      <w:r>
        <w:rPr>
          <w:rFonts w:ascii="Times New Roman" w:hAnsi="Times New Roman" w:cs="Times New Roman"/>
          <w:color w:val="000000"/>
          <w:kern w:val="0"/>
          <w:sz w:val="20"/>
          <w:szCs w:val="20"/>
          <w:u w:val="single"/>
        </w:rPr>
        <w:t>Lance@mrwlawgroup.com</w:t>
      </w:r>
    </w:p>
    <w:p w14:paraId="5DAE51EF"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038A168B"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u w:val="single"/>
        </w:rPr>
      </w:pPr>
      <w:r>
        <w:rPr>
          <w:rFonts w:ascii="Times New Roman" w:hAnsi="Times New Roman" w:cs="Times New Roman"/>
          <w:color w:val="000000"/>
          <w:kern w:val="0"/>
          <w:sz w:val="20"/>
          <w:szCs w:val="20"/>
          <w:u w:val="single"/>
        </w:rPr>
        <w:t>alrteam@mrwlawgroup.com</w:t>
      </w:r>
    </w:p>
    <w:p w14:paraId="638F885E"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p w14:paraId="146F6EFE" w14:textId="77777777" w:rsidR="00000000" w:rsidRDefault="00000000">
      <w:pPr>
        <w:widowControl w:val="0"/>
        <w:autoSpaceDE w:val="0"/>
        <w:autoSpaceDN w:val="0"/>
        <w:adjustRightInd w:val="0"/>
        <w:spacing w:after="0" w:line="240" w:lineRule="auto"/>
        <w:jc w:val="both"/>
        <w:rPr>
          <w:rFonts w:ascii="Times New Roman" w:hAnsi="Times New Roman" w:cs="Times New Roman"/>
          <w:i/>
          <w:iCs/>
          <w:color w:val="000000"/>
          <w:kern w:val="0"/>
          <w:sz w:val="20"/>
          <w:szCs w:val="20"/>
        </w:rPr>
      </w:pPr>
      <w:r>
        <w:rPr>
          <w:rFonts w:ascii="Times New Roman" w:hAnsi="Times New Roman" w:cs="Times New Roman"/>
          <w:i/>
          <w:iCs/>
          <w:color w:val="000000"/>
          <w:kern w:val="0"/>
          <w:sz w:val="20"/>
          <w:szCs w:val="20"/>
        </w:rPr>
        <w:t>Counsel for Plaintiff</w:t>
      </w:r>
    </w:p>
    <w:p w14:paraId="1201CEE2"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w:t>
      </w:r>
    </w:p>
    <w:tbl>
      <w:tblPr>
        <w:tblW w:w="0" w:type="auto"/>
        <w:tblInd w:w="24" w:type="dxa"/>
        <w:tblLayout w:type="fixed"/>
        <w:tblCellMar>
          <w:left w:w="0" w:type="dxa"/>
          <w:right w:w="0" w:type="dxa"/>
        </w:tblCellMar>
        <w:tblLook w:val="0000" w:firstRow="0" w:lastRow="0" w:firstColumn="0" w:lastColumn="0" w:noHBand="0" w:noVBand="0"/>
      </w:tblPr>
      <w:tblGrid>
        <w:gridCol w:w="4320"/>
        <w:gridCol w:w="5760"/>
      </w:tblGrid>
      <w:tr w:rsidR="00000000" w14:paraId="0E839F60" w14:textId="77777777">
        <w:tblPrEx>
          <w:tblCellMar>
            <w:top w:w="0" w:type="dxa"/>
            <w:left w:w="0" w:type="dxa"/>
            <w:bottom w:w="0" w:type="dxa"/>
            <w:right w:w="0" w:type="dxa"/>
          </w:tblCellMar>
        </w:tblPrEx>
        <w:tc>
          <w:tcPr>
            <w:tcW w:w="4320" w:type="dxa"/>
            <w:tcBorders>
              <w:top w:val="single" w:sz="4" w:space="0" w:color="777777"/>
              <w:left w:val="nil"/>
              <w:bottom w:val="nil"/>
              <w:right w:val="nil"/>
            </w:tcBorders>
            <w:tcMar>
              <w:top w:w="100" w:type="dxa"/>
              <w:left w:w="24" w:type="dxa"/>
              <w:right w:w="24" w:type="dxa"/>
            </w:tcMar>
          </w:tcPr>
          <w:p w14:paraId="6A6A67F3" w14:textId="77777777" w:rsidR="00000000" w:rsidRDefault="00000000">
            <w:pPr>
              <w:widowControl w:val="0"/>
              <w:autoSpaceDE w:val="0"/>
              <w:autoSpaceDN w:val="0"/>
              <w:adjustRightInd w:val="0"/>
              <w:spacing w:after="0" w:line="240" w:lineRule="auto"/>
              <w:ind w:left="24" w:right="24"/>
              <w:rPr>
                <w:rFonts w:ascii="Times New Roman" w:hAnsi="Times New Roman" w:cs="Times New Roman"/>
                <w:b/>
                <w:bCs/>
                <w:color w:val="777777"/>
                <w:kern w:val="0"/>
                <w:sz w:val="16"/>
                <w:szCs w:val="16"/>
              </w:rPr>
            </w:pPr>
            <w:r>
              <w:rPr>
                <w:rFonts w:ascii="Times New Roman" w:hAnsi="Times New Roman" w:cs="Times New Roman"/>
                <w:b/>
                <w:bCs/>
                <w:color w:val="777777"/>
                <w:kern w:val="0"/>
                <w:sz w:val="16"/>
                <w:szCs w:val="16"/>
              </w:rPr>
              <w:t>End of Document</w:t>
            </w:r>
          </w:p>
          <w:p w14:paraId="0F22C9CB" w14:textId="77777777" w:rsidR="00000000" w:rsidRDefault="00000000">
            <w:pPr>
              <w:widowControl w:val="0"/>
              <w:autoSpaceDE w:val="0"/>
              <w:autoSpaceDN w:val="0"/>
              <w:adjustRightInd w:val="0"/>
              <w:spacing w:after="0" w:line="240" w:lineRule="auto"/>
              <w:ind w:left="24" w:right="24"/>
              <w:rPr>
                <w:rFonts w:ascii="Times New Roman" w:hAnsi="Times New Roman" w:cs="Times New Roman"/>
                <w:b/>
                <w:bCs/>
                <w:color w:val="777777"/>
                <w:kern w:val="0"/>
                <w:sz w:val="16"/>
                <w:szCs w:val="16"/>
              </w:rPr>
            </w:pPr>
          </w:p>
        </w:tc>
        <w:tc>
          <w:tcPr>
            <w:tcW w:w="5760" w:type="dxa"/>
            <w:tcBorders>
              <w:top w:val="single" w:sz="4" w:space="0" w:color="777777"/>
              <w:left w:val="nil"/>
              <w:bottom w:val="nil"/>
              <w:right w:val="nil"/>
            </w:tcBorders>
            <w:tcMar>
              <w:top w:w="100" w:type="dxa"/>
              <w:left w:w="24" w:type="dxa"/>
              <w:right w:w="24" w:type="dxa"/>
            </w:tcMar>
          </w:tcPr>
          <w:p w14:paraId="44A43588" w14:textId="77777777" w:rsidR="00000000" w:rsidRDefault="00000000">
            <w:pPr>
              <w:widowControl w:val="0"/>
              <w:autoSpaceDE w:val="0"/>
              <w:autoSpaceDN w:val="0"/>
              <w:adjustRightInd w:val="0"/>
              <w:spacing w:after="0" w:line="240" w:lineRule="auto"/>
              <w:ind w:left="24" w:right="24"/>
              <w:jc w:val="right"/>
              <w:rPr>
                <w:rFonts w:ascii="Times New Roman" w:hAnsi="Times New Roman" w:cs="Times New Roman"/>
                <w:color w:val="777777"/>
                <w:kern w:val="0"/>
                <w:sz w:val="16"/>
                <w:szCs w:val="16"/>
              </w:rPr>
            </w:pPr>
            <w:r>
              <w:rPr>
                <w:rFonts w:ascii="Times New Roman" w:hAnsi="Times New Roman" w:cs="Times New Roman"/>
                <w:color w:val="777777"/>
                <w:kern w:val="0"/>
                <w:sz w:val="16"/>
                <w:szCs w:val="16"/>
              </w:rPr>
              <w:t>© 2024 Thomson Reuters. No claim to original U.S. Government Works.</w:t>
            </w:r>
          </w:p>
          <w:p w14:paraId="6AA67281" w14:textId="77777777" w:rsidR="00000000" w:rsidRDefault="00000000">
            <w:pPr>
              <w:widowControl w:val="0"/>
              <w:autoSpaceDE w:val="0"/>
              <w:autoSpaceDN w:val="0"/>
              <w:adjustRightInd w:val="0"/>
              <w:spacing w:after="0" w:line="240" w:lineRule="auto"/>
              <w:ind w:left="24" w:right="24"/>
              <w:jc w:val="right"/>
              <w:rPr>
                <w:rFonts w:ascii="Times New Roman" w:hAnsi="Times New Roman" w:cs="Times New Roman"/>
                <w:color w:val="777777"/>
                <w:kern w:val="0"/>
                <w:sz w:val="16"/>
                <w:szCs w:val="16"/>
              </w:rPr>
            </w:pPr>
          </w:p>
        </w:tc>
      </w:tr>
    </w:tbl>
    <w:p w14:paraId="6A85D78D" w14:textId="77777777" w:rsidR="00000000" w:rsidRDefault="00000000">
      <w:pPr>
        <w:widowControl w:val="0"/>
        <w:autoSpaceDE w:val="0"/>
        <w:autoSpaceDN w:val="0"/>
        <w:adjustRightInd w:val="0"/>
        <w:spacing w:after="0" w:line="240" w:lineRule="auto"/>
        <w:jc w:val="both"/>
        <w:rPr>
          <w:rFonts w:ascii="Times New Roman" w:hAnsi="Times New Roman" w:cs="Times New Roman"/>
          <w:color w:val="000000"/>
          <w:kern w:val="0"/>
          <w:sz w:val="20"/>
          <w:szCs w:val="20"/>
        </w:rPr>
      </w:pPr>
    </w:p>
    <w:p w14:paraId="2BAB2679" w14:textId="77777777" w:rsidR="00845BE5" w:rsidRDefault="00845BE5">
      <w:pPr>
        <w:widowControl w:val="0"/>
        <w:autoSpaceDE w:val="0"/>
        <w:autoSpaceDN w:val="0"/>
        <w:adjustRightInd w:val="0"/>
        <w:spacing w:after="0" w:line="240" w:lineRule="auto"/>
        <w:rPr>
          <w:rFonts w:ascii="Arial" w:hAnsi="Arial" w:cs="Arial"/>
          <w:kern w:val="0"/>
        </w:rPr>
      </w:pPr>
    </w:p>
    <w:sectPr w:rsidR="00845BE5">
      <w:type w:val="continuous"/>
      <w:pgSz w:w="12240" w:h="15840"/>
      <w:pgMar w:top="1080" w:right="1080" w:bottom="1080" w:left="108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4B003F" w14:textId="77777777" w:rsidR="00845BE5" w:rsidRDefault="00845BE5">
      <w:pPr>
        <w:spacing w:after="0" w:line="240" w:lineRule="auto"/>
      </w:pPr>
      <w:r>
        <w:separator/>
      </w:r>
    </w:p>
  </w:endnote>
  <w:endnote w:type="continuationSeparator" w:id="0">
    <w:p w14:paraId="18A19668" w14:textId="77777777" w:rsidR="00845BE5" w:rsidRDefault="00845B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CellMar>
        <w:left w:w="0" w:type="dxa"/>
        <w:right w:w="0" w:type="dxa"/>
      </w:tblCellMar>
      <w:tblLook w:val="0000" w:firstRow="0" w:lastRow="0" w:firstColumn="0" w:lastColumn="0" w:noHBand="0" w:noVBand="0"/>
    </w:tblPr>
    <w:tblGrid>
      <w:gridCol w:w="9300"/>
      <w:gridCol w:w="700"/>
    </w:tblGrid>
    <w:tr w:rsidR="00000000" w14:paraId="4A0BA002" w14:textId="77777777">
      <w:tblPrEx>
        <w:tblCellMar>
          <w:top w:w="0" w:type="dxa"/>
          <w:left w:w="0" w:type="dxa"/>
          <w:bottom w:w="0" w:type="dxa"/>
          <w:right w:w="0" w:type="dxa"/>
        </w:tblCellMar>
      </w:tblPrEx>
      <w:tc>
        <w:tcPr>
          <w:tcW w:w="9300" w:type="dxa"/>
          <w:tcBorders>
            <w:top w:val="single" w:sz="8" w:space="0" w:color="AAAAAA"/>
            <w:left w:val="nil"/>
            <w:bottom w:val="nil"/>
            <w:right w:val="nil"/>
          </w:tcBorders>
          <w:tcMar>
            <w:top w:w="60" w:type="dxa"/>
          </w:tcMar>
          <w:vAlign w:val="bottom"/>
        </w:tcPr>
        <w:p w14:paraId="7EBB96B3" w14:textId="77777777" w:rsidR="00000000" w:rsidRDefault="00473379">
          <w:pPr>
            <w:widowControl w:val="0"/>
            <w:autoSpaceDE w:val="0"/>
            <w:autoSpaceDN w:val="0"/>
            <w:adjustRightInd w:val="0"/>
            <w:spacing w:after="0" w:line="240" w:lineRule="auto"/>
            <w:rPr>
              <w:rFonts w:ascii="Arial" w:hAnsi="Arial" w:cs="Arial"/>
              <w:color w:val="AAAAAA"/>
              <w:kern w:val="0"/>
              <w:sz w:val="20"/>
              <w:szCs w:val="20"/>
            </w:rPr>
          </w:pPr>
          <w:r>
            <w:rPr>
              <w:rFonts w:ascii="Arial" w:hAnsi="Arial" w:cs="Arial"/>
              <w:noProof/>
              <w:color w:val="AAAAAA"/>
              <w:kern w:val="0"/>
              <w:sz w:val="20"/>
              <w:szCs w:val="20"/>
            </w:rPr>
            <w:drawing>
              <wp:inline distT="0" distB="0" distL="0" distR="0" wp14:anchorId="1136C763" wp14:editId="7D8BD569">
                <wp:extent cx="741045" cy="95885"/>
                <wp:effectExtent l="0" t="0" r="0" b="0"/>
                <wp:docPr id="2"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1045" cy="95885"/>
                        </a:xfrm>
                        <a:prstGeom prst="rect">
                          <a:avLst/>
                        </a:prstGeom>
                        <a:noFill/>
                        <a:ln>
                          <a:noFill/>
                        </a:ln>
                      </pic:spPr>
                    </pic:pic>
                  </a:graphicData>
                </a:graphic>
              </wp:inline>
            </w:drawing>
          </w:r>
          <w:r w:rsidR="00000000">
            <w:rPr>
              <w:rFonts w:ascii="Arial" w:hAnsi="Arial" w:cs="Arial"/>
              <w:color w:val="AAAAAA"/>
              <w:kern w:val="0"/>
              <w:sz w:val="20"/>
              <w:szCs w:val="20"/>
            </w:rPr>
            <w:t xml:space="preserve"> © 2024 Thomson Reuters. No claim to original U.S. Government Works.</w:t>
          </w:r>
        </w:p>
      </w:tc>
      <w:tc>
        <w:tcPr>
          <w:tcW w:w="700" w:type="dxa"/>
          <w:tcBorders>
            <w:top w:val="single" w:sz="8" w:space="0" w:color="AAAAAA"/>
            <w:left w:val="nil"/>
            <w:bottom w:val="nil"/>
            <w:right w:val="nil"/>
          </w:tcBorders>
          <w:tcMar>
            <w:top w:w="60" w:type="dxa"/>
          </w:tcMar>
        </w:tcPr>
        <w:p w14:paraId="7D914B88" w14:textId="77777777" w:rsidR="00000000" w:rsidRDefault="00000000">
          <w:pPr>
            <w:widowControl w:val="0"/>
            <w:autoSpaceDE w:val="0"/>
            <w:autoSpaceDN w:val="0"/>
            <w:adjustRightInd w:val="0"/>
            <w:spacing w:after="0" w:line="240" w:lineRule="auto"/>
            <w:jc w:val="right"/>
            <w:rPr>
              <w:rFonts w:ascii="Arial" w:hAnsi="Arial" w:cs="Arial"/>
              <w:color w:val="AAAAAA"/>
              <w:kern w:val="0"/>
              <w:sz w:val="20"/>
              <w:szCs w:val="20"/>
            </w:rPr>
          </w:pPr>
          <w:r>
            <w:rPr>
              <w:rFonts w:ascii="Arial" w:hAnsi="Arial" w:cs="Arial"/>
              <w:color w:val="AAAAAA"/>
              <w:kern w:val="0"/>
              <w:sz w:val="20"/>
              <w:szCs w:val="20"/>
            </w:rPr>
            <w:pgNum/>
          </w:r>
        </w:p>
      </w:tc>
    </w:tr>
  </w:tbl>
  <w:p w14:paraId="3B065374" w14:textId="77777777" w:rsidR="00000000" w:rsidRDefault="00000000">
    <w:pPr>
      <w:widowControl w:val="0"/>
      <w:autoSpaceDE w:val="0"/>
      <w:autoSpaceDN w:val="0"/>
      <w:adjustRightInd w:val="0"/>
      <w:spacing w:after="0" w:line="240" w:lineRule="auto"/>
      <w:rPr>
        <w:rFonts w:ascii="Arial" w:hAnsi="Arial" w:cs="Arial"/>
        <w:kern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07B70D" w14:textId="77777777" w:rsidR="00845BE5" w:rsidRDefault="00845BE5">
      <w:pPr>
        <w:spacing w:after="0" w:line="240" w:lineRule="auto"/>
      </w:pPr>
      <w:r>
        <w:separator/>
      </w:r>
    </w:p>
  </w:footnote>
  <w:footnote w:type="continuationSeparator" w:id="0">
    <w:p w14:paraId="22FCFC7D" w14:textId="77777777" w:rsidR="00845BE5" w:rsidRDefault="00845B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CellMar>
        <w:left w:w="0" w:type="dxa"/>
        <w:right w:w="0" w:type="dxa"/>
      </w:tblCellMar>
      <w:tblLook w:val="0000" w:firstRow="0" w:lastRow="0" w:firstColumn="0" w:lastColumn="0" w:noHBand="0" w:noVBand="0"/>
    </w:tblPr>
    <w:tblGrid>
      <w:gridCol w:w="9380"/>
      <w:gridCol w:w="700"/>
    </w:tblGrid>
    <w:tr w:rsidR="00000000" w14:paraId="3B3A6BD3" w14:textId="77777777">
      <w:tblPrEx>
        <w:tblCellMar>
          <w:top w:w="0" w:type="dxa"/>
          <w:left w:w="0" w:type="dxa"/>
          <w:bottom w:w="0" w:type="dxa"/>
          <w:right w:w="0" w:type="dxa"/>
        </w:tblCellMar>
      </w:tblPrEx>
      <w:tc>
        <w:tcPr>
          <w:tcW w:w="9380" w:type="dxa"/>
          <w:tcBorders>
            <w:top w:val="nil"/>
            <w:left w:val="nil"/>
            <w:bottom w:val="single" w:sz="8" w:space="0" w:color="AAAAAA"/>
            <w:right w:val="nil"/>
          </w:tcBorders>
          <w:tcMar>
            <w:top w:w="400" w:type="dxa"/>
            <w:bottom w:w="60" w:type="dxa"/>
          </w:tcMar>
          <w:vAlign w:val="bottom"/>
        </w:tcPr>
        <w:p w14:paraId="79AAE551" w14:textId="77777777" w:rsidR="00000000" w:rsidRDefault="00000000">
          <w:pPr>
            <w:widowControl w:val="0"/>
            <w:autoSpaceDE w:val="0"/>
            <w:autoSpaceDN w:val="0"/>
            <w:adjustRightInd w:val="0"/>
            <w:spacing w:after="0" w:line="240" w:lineRule="auto"/>
            <w:rPr>
              <w:rFonts w:ascii="Arial" w:hAnsi="Arial" w:cs="Arial"/>
              <w:color w:val="000000"/>
              <w:kern w:val="0"/>
              <w:sz w:val="18"/>
              <w:szCs w:val="18"/>
            </w:rPr>
          </w:pPr>
          <w:r>
            <w:rPr>
              <w:rFonts w:ascii="Arial" w:hAnsi="Arial" w:cs="Arial"/>
              <w:b/>
              <w:bCs/>
              <w:color w:val="555555"/>
              <w:kern w:val="0"/>
              <w:sz w:val="18"/>
              <w:szCs w:val="18"/>
            </w:rPr>
            <w:t>THE ESTATE OF JENNIE COE, by and through Teresa..., 2023 WL 9108365...</w:t>
          </w:r>
        </w:p>
      </w:tc>
      <w:tc>
        <w:tcPr>
          <w:tcW w:w="700" w:type="dxa"/>
          <w:tcBorders>
            <w:top w:val="nil"/>
            <w:left w:val="nil"/>
            <w:bottom w:val="single" w:sz="8" w:space="0" w:color="AAAAAA"/>
            <w:right w:val="nil"/>
          </w:tcBorders>
          <w:tcMar>
            <w:top w:w="400" w:type="dxa"/>
            <w:bottom w:w="60" w:type="dxa"/>
          </w:tcMar>
        </w:tcPr>
        <w:p w14:paraId="2C2C515F" w14:textId="77777777" w:rsidR="00000000" w:rsidRDefault="00000000">
          <w:pPr>
            <w:widowControl w:val="0"/>
            <w:autoSpaceDE w:val="0"/>
            <w:autoSpaceDN w:val="0"/>
            <w:adjustRightInd w:val="0"/>
            <w:spacing w:after="0" w:line="240" w:lineRule="auto"/>
            <w:jc w:val="right"/>
            <w:rPr>
              <w:rFonts w:ascii="Arial" w:hAnsi="Arial" w:cs="Arial"/>
              <w:color w:val="000000"/>
              <w:kern w:val="0"/>
              <w:sz w:val="18"/>
              <w:szCs w:val="18"/>
            </w:rPr>
          </w:pPr>
        </w:p>
      </w:tc>
    </w:tr>
    <w:tr w:rsidR="00000000" w14:paraId="09873EE0" w14:textId="77777777">
      <w:tblPrEx>
        <w:tblCellMar>
          <w:top w:w="0" w:type="dxa"/>
          <w:left w:w="0" w:type="dxa"/>
          <w:bottom w:w="0" w:type="dxa"/>
          <w:right w:w="0" w:type="dxa"/>
        </w:tblCellMar>
      </w:tblPrEx>
      <w:tc>
        <w:tcPr>
          <w:tcW w:w="10080" w:type="dxa"/>
          <w:gridSpan w:val="2"/>
          <w:tcBorders>
            <w:top w:val="nil"/>
            <w:left w:val="nil"/>
            <w:bottom w:val="nil"/>
            <w:right w:val="nil"/>
          </w:tcBorders>
        </w:tcPr>
        <w:p w14:paraId="4B474DFA" w14:textId="77777777" w:rsidR="00000000" w:rsidRDefault="00000000">
          <w:pPr>
            <w:widowControl w:val="0"/>
            <w:autoSpaceDE w:val="0"/>
            <w:autoSpaceDN w:val="0"/>
            <w:adjustRightInd w:val="0"/>
            <w:spacing w:after="0" w:line="240" w:lineRule="auto"/>
            <w:rPr>
              <w:rFonts w:ascii="Arial" w:hAnsi="Arial" w:cs="Arial"/>
              <w:color w:val="000000"/>
              <w:kern w:val="0"/>
              <w:sz w:val="18"/>
              <w:szCs w:val="18"/>
            </w:rPr>
          </w:pPr>
        </w:p>
      </w:tc>
    </w:tr>
  </w:tbl>
  <w:p w14:paraId="2483BCB1" w14:textId="77777777" w:rsidR="00000000" w:rsidRDefault="00000000">
    <w:pPr>
      <w:widowControl w:val="0"/>
      <w:autoSpaceDE w:val="0"/>
      <w:autoSpaceDN w:val="0"/>
      <w:adjustRightInd w:val="0"/>
      <w:spacing w:after="0" w:line="240" w:lineRule="auto"/>
      <w:rPr>
        <w:rFonts w:ascii="Arial" w:hAnsi="Arial" w:cs="Arial"/>
        <w:kern w:val="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3"/>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452"/>
    <w:rsid w:val="000013D8"/>
    <w:rsid w:val="00473379"/>
    <w:rsid w:val="00663452"/>
    <w:rsid w:val="00845B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358273F"/>
  <w14:defaultImageDpi w14:val="0"/>
  <w15:docId w15:val="{BF3AC991-F1B3-D543-998B-3A3CA5DE1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pixelsPerInch w:val="72"/>
</w:webSettings>
</file>

<file path=word/_rels/document.xml.rels><?xml version="1.0" encoding="UTF-8" standalone="yes"?>
<Relationships xmlns="http://schemas.openxmlformats.org/package/2006/relationships"><Relationship Id="rId13" Type="http://schemas.openxmlformats.org/officeDocument/2006/relationships/hyperlink" Target="https://www.westlaw.com/Link/Document/FullText?findType=L&amp;pubNum=1000742&amp;cite=59FLADC59A-4.103&amp;originatingDoc=Ia3e1c7a0ae0011eebd0aa188c43ad821&amp;refType=LQ&amp;originationContext=document&amp;vr=3.0&amp;rs=cblt1.0&amp;transitionType=DocumentItem&amp;contextData=(sc.Keycite)" TargetMode="External"/><Relationship Id="rId18" Type="http://schemas.openxmlformats.org/officeDocument/2006/relationships/hyperlink" Target="https://www.westlaw.com/Link/Document/FullText?findType=L&amp;pubNum=1000006&amp;cite=FLSTS400.141&amp;originatingDoc=Ia3e1c7a0ae0011eebd0aa188c43ad821&amp;refType=LQ&amp;originationContext=document&amp;vr=3.0&amp;rs=cblt1.0&amp;transitionType=DocumentItem&amp;contextData=(sc.Keycite)" TargetMode="External"/><Relationship Id="rId26" Type="http://schemas.openxmlformats.org/officeDocument/2006/relationships/hyperlink" Target="https://www.westlaw.com/Link/Document/FullText?findType=L&amp;pubNum=1000006&amp;cite=FLSTS400.022&amp;originatingDoc=Ia3e1c7a0ae0011eebd0aa188c43ad821&amp;refType=LQ&amp;originationContext=document&amp;vr=3.0&amp;rs=cblt1.0&amp;transitionType=DocumentItem&amp;contextData=(sc.Keycite)" TargetMode="External"/><Relationship Id="rId3" Type="http://schemas.openxmlformats.org/officeDocument/2006/relationships/webSettings" Target="webSettings.xml"/><Relationship Id="rId21" Type="http://schemas.openxmlformats.org/officeDocument/2006/relationships/hyperlink" Target="https://www.westlaw.com/Link/Document/FullText?findType=L&amp;pubNum=1000006&amp;cite=FLSTS768.38&amp;originatingDoc=Ia3e1c7a0ae0011eebd0aa188c43ad821&amp;refType=LQ&amp;originationContext=document&amp;vr=3.0&amp;rs=cblt1.0&amp;transitionType=DocumentItem&amp;contextData=(sc.Keycite)" TargetMode="External"/><Relationship Id="rId34" Type="http://schemas.openxmlformats.org/officeDocument/2006/relationships/customXml" Target="../customXml/item3.xml"/><Relationship Id="rId7" Type="http://schemas.openxmlformats.org/officeDocument/2006/relationships/footer" Target="footer1.xml"/><Relationship Id="rId12" Type="http://schemas.openxmlformats.org/officeDocument/2006/relationships/hyperlink" Target="https://www.westlaw.com/Link/Document/FullText?findType=L&amp;pubNum=1000006&amp;cite=FLSTS400.023&amp;originatingDoc=Ia3e1c7a0ae0011eebd0aa188c43ad821&amp;refType=SP&amp;originationContext=document&amp;vr=3.0&amp;rs=cblt1.0&amp;transitionType=DocumentItem&amp;contextData=(sc.Keycite)#co_pp_362c000048fd7" TargetMode="External"/><Relationship Id="rId17" Type="http://schemas.openxmlformats.org/officeDocument/2006/relationships/hyperlink" Target="https://www.westlaw.com/Link/Document/FullText?findType=L&amp;pubNum=1000742&amp;cite=59FLADC59A-4.103&amp;originatingDoc=Ia3e1c7a0ae0011eebd0aa188c43ad821&amp;refType=LQ&amp;originationContext=document&amp;vr=3.0&amp;rs=cblt1.0&amp;transitionType=DocumentItem&amp;contextData=(sc.Keycite)" TargetMode="External"/><Relationship Id="rId25" Type="http://schemas.openxmlformats.org/officeDocument/2006/relationships/hyperlink" Target="https://www.westlaw.com/Link/Document/FullText?findType=L&amp;pubNum=1000006&amp;cite=FLSTS400.022&amp;originatingDoc=Ia3e1c7a0ae0011eebd0aa188c43ad821&amp;refType=LQ&amp;originationContext=document&amp;vr=3.0&amp;rs=cblt1.0&amp;transitionType=DocumentItem&amp;contextData=(sc.Keycite)" TargetMode="External"/><Relationship Id="rId33" Type="http://schemas.openxmlformats.org/officeDocument/2006/relationships/customXml" Target="../customXml/item2.xml"/><Relationship Id="rId2" Type="http://schemas.openxmlformats.org/officeDocument/2006/relationships/settings" Target="settings.xml"/><Relationship Id="rId16" Type="http://schemas.openxmlformats.org/officeDocument/2006/relationships/hyperlink" Target="https://www.westlaw.com/Link/Document/FullText?findType=L&amp;pubNum=1000006&amp;cite=FLSTS400.20&amp;originatingDoc=Ia3e1c7a0ae0011eebd0aa188c43ad821&amp;refType=LQ&amp;originationContext=document&amp;vr=3.0&amp;rs=cblt1.0&amp;transitionType=DocumentItem&amp;contextData=(sc.Keycite)" TargetMode="External"/><Relationship Id="rId20" Type="http://schemas.openxmlformats.org/officeDocument/2006/relationships/hyperlink" Target="https://1.next.westlaw.com/Link/RelatedInformation/Flag?documentGuid=N753A6EB0988811EB8F249E1F339935C7&amp;transitionType=InlineKeyCiteFlags&amp;originationContext=docHeaderFlag&amp;Rank=4&amp;ppcid=f2fb9f6cb5c6491487fb14f293b5a997&amp;contextData=(sc.Keycite)" TargetMode="External"/><Relationship Id="rId29" Type="http://schemas.openxmlformats.org/officeDocument/2006/relationships/hyperlink" Target="https://www.westlaw.com/Link/Document/FullText?findType=L&amp;pubNum=1000006&amp;cite=FLSTS415.1111&amp;originatingDoc=Ia3e1c7a0ae0011eebd0aa188c43ad821&amp;refType=LQ&amp;originationContext=document&amp;vr=3.0&amp;rs=cblt1.0&amp;transitionType=DocumentItem&amp;contextData=(sc.Keycite)" TargetMode="Externa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yperlink" Target="https://www.westlaw.com/Link/Document/FullText?findType=L&amp;pubNum=1000006&amp;cite=FLSTS400.023&amp;originatingDoc=Ia3e1c7a0ae0011eebd0aa188c43ad821&amp;refType=LQ&amp;originationContext=document&amp;vr=3.0&amp;rs=cblt1.0&amp;transitionType=DocumentItem&amp;contextData=(sc.Keycite)" TargetMode="External"/><Relationship Id="rId24" Type="http://schemas.openxmlformats.org/officeDocument/2006/relationships/hyperlink" Target="https://1.next.westlaw.com/Link/RelatedInformation/Flag?documentGuid=N81EC4CE1194C11EE8188F1A24C75AB39&amp;transitionType=InlineKeyCiteFlags&amp;originationContext=docHeaderFlag&amp;Rank=4&amp;ppcid=f2fb9f6cb5c6491487fb14f293b5a997&amp;contextData=(sc.Keycite)" TargetMode="External"/><Relationship Id="rId32" Type="http://schemas.openxmlformats.org/officeDocument/2006/relationships/customXml" Target="../customXml/item1.xml"/><Relationship Id="rId5" Type="http://schemas.openxmlformats.org/officeDocument/2006/relationships/endnotes" Target="endnotes.xml"/><Relationship Id="rId15" Type="http://schemas.openxmlformats.org/officeDocument/2006/relationships/hyperlink" Target="https://www.westlaw.com/Link/Document/FullText?findType=L&amp;pubNum=1000006&amp;cite=FLSTS400.141&amp;originatingDoc=Ia3e1c7a0ae0011eebd0aa188c43ad821&amp;refType=LQ&amp;originationContext=document&amp;vr=3.0&amp;rs=cblt1.0&amp;transitionType=DocumentItem&amp;contextData=(sc.Keycite)" TargetMode="External"/><Relationship Id="rId23" Type="http://schemas.openxmlformats.org/officeDocument/2006/relationships/hyperlink" Target="https://www.westlaw.com/Link/Document/FullText?findType=L&amp;pubNum=1000006&amp;cite=FLSTS768.381&amp;originatingDoc=Ia3e1c7a0ae0011eebd0aa188c43ad821&amp;refType=LQ&amp;originationContext=document&amp;vr=3.0&amp;rs=cblt1.0&amp;transitionType=DocumentItem&amp;contextData=(sc.Keycite)" TargetMode="External"/><Relationship Id="rId28" Type="http://schemas.openxmlformats.org/officeDocument/2006/relationships/hyperlink" Target="https://www.westlaw.com/Link/Document/FullText?findType=L&amp;pubNum=1000006&amp;cite=FLSTS415.1111&amp;originatingDoc=Ia3e1c7a0ae0011eebd0aa188c43ad821&amp;refType=LQ&amp;originationContext=document&amp;vr=3.0&amp;rs=cblt1.0&amp;transitionType=DocumentItem&amp;contextData=(sc.Keycite)" TargetMode="External"/><Relationship Id="rId10" Type="http://schemas.openxmlformats.org/officeDocument/2006/relationships/image" Target="media/image2.png"/><Relationship Id="rId19" Type="http://schemas.openxmlformats.org/officeDocument/2006/relationships/hyperlink" Target="https://www.westlaw.com/Link/Document/FullText?findType=L&amp;pubNum=1000006&amp;cite=FLSTS400.20&amp;originatingDoc=Ia3e1c7a0ae0011eebd0aa188c43ad821&amp;refType=LQ&amp;originationContext=document&amp;vr=3.0&amp;rs=cblt1.0&amp;transitionType=DocumentItem&amp;contextData=(sc.Keycite)" TargetMode="External"/><Relationship Id="rId31"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https://1.next.westlaw.com/Link/RelatedInformation/Flag?documentGuid=N83343740F2D511E394BFA5A9BF06C979&amp;transitionType=InlineKeyCiteFlags&amp;originationContext=docHeaderFlag&amp;Rank=4&amp;ppcid=f2fb9f6cb5c6491487fb14f293b5a997&amp;contextData=(sc.Keycite)" TargetMode="External"/><Relationship Id="rId14" Type="http://schemas.openxmlformats.org/officeDocument/2006/relationships/hyperlink" Target="https://1.next.westlaw.com/Link/RelatedInformation/Flag?documentGuid=N32CB4C001C8B11EEB89EB68C4B55B519&amp;transitionType=InlineKeyCiteFlags&amp;originationContext=docHeaderFlag&amp;Rank=4&amp;ppcid=f2fb9f6cb5c6491487fb14f293b5a997&amp;contextData=(sc.Keycite)" TargetMode="External"/><Relationship Id="rId22" Type="http://schemas.openxmlformats.org/officeDocument/2006/relationships/hyperlink" Target="https://1.next.westlaw.com/Link/RelatedInformation/Flag?documentGuid=N07A85921D1B211EC935CCE51F165BB9E&amp;transitionType=InlineKeyCiteFlags&amp;originationContext=docHeaderFlag&amp;Rank=4&amp;ppcid=f2fb9f6cb5c6491487fb14f293b5a997&amp;contextData=(sc.Keycite)" TargetMode="External"/><Relationship Id="rId27" Type="http://schemas.openxmlformats.org/officeDocument/2006/relationships/hyperlink" Target="https://www.westlaw.com/Link/Document/FullText?findType=L&amp;pubNum=1000006&amp;cite=FLSTS400.022&amp;originatingDoc=Ia3e1c7a0ae0011eebd0aa188c43ad821&amp;refType=LQ&amp;originationContext=document&amp;vr=3.0&amp;rs=cblt1.0&amp;transitionType=DocumentItem&amp;contextData=(sc.Keycite)" TargetMode="External"/><Relationship Id="rId30" Type="http://schemas.openxmlformats.org/officeDocument/2006/relationships/fontTable" Target="fontTable.xml"/><Relationship Id="rId8" Type="http://schemas.openxmlformats.org/officeDocument/2006/relationships/hyperlink" Target="https://www.westlaw.com/Link/Document/FullText?findType=h&amp;pubNum=176284&amp;cite=0333912801&amp;originatingDoc=Ia3e1c7a0ae0011eebd0aa188c43ad821&amp;refType=RQ&amp;originationContext=document&amp;vr=3.0&amp;rs=cblt1.0&amp;transitionType=DocumentItem&amp;contextData=(sc.Keycite)"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1AE6AA801D6D644ACEC60B129935B95" ma:contentTypeVersion="4" ma:contentTypeDescription="Create a new document." ma:contentTypeScope="" ma:versionID="022a5e5c4f854586605a5ca21f2429ec">
  <xsd:schema xmlns:xsd="http://www.w3.org/2001/XMLSchema" xmlns:xs="http://www.w3.org/2001/XMLSchema" xmlns:p="http://schemas.microsoft.com/office/2006/metadata/properties" xmlns:ns2="f24ccdfa-fde1-4ee0-8de0-c7493003e888" targetNamespace="http://schemas.microsoft.com/office/2006/metadata/properties" ma:root="true" ma:fieldsID="7a16c377513ba4220eee585f16a4fa27" ns2:_="">
    <xsd:import namespace="f24ccdfa-fde1-4ee0-8de0-c7493003e88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ccdfa-fde1-4ee0-8de0-c7493003e8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B5F0747-EC33-4936-8848-939D53619953}"/>
</file>

<file path=customXml/itemProps2.xml><?xml version="1.0" encoding="utf-8"?>
<ds:datastoreItem xmlns:ds="http://schemas.openxmlformats.org/officeDocument/2006/customXml" ds:itemID="{2E54689E-3716-4B83-9F93-2B1A56F72657}"/>
</file>

<file path=customXml/itemProps3.xml><?xml version="1.0" encoding="utf-8"?>
<ds:datastoreItem xmlns:ds="http://schemas.openxmlformats.org/officeDocument/2006/customXml" ds:itemID="{0052165F-D9CD-4142-86B4-EAB66E5934CD}"/>
</file>

<file path=docProps/app.xml><?xml version="1.0" encoding="utf-8"?>
<Properties xmlns="http://schemas.openxmlformats.org/officeDocument/2006/extended-properties" xmlns:vt="http://schemas.openxmlformats.org/officeDocument/2006/docPropsVTypes">
  <Template>Normal.dotm</Template>
  <TotalTime>0</TotalTime>
  <Pages>8</Pages>
  <Words>4146</Words>
  <Characters>23635</Characters>
  <Application>Microsoft Office Word</Application>
  <DocSecurity>0</DocSecurity>
  <Lines>196</Lines>
  <Paragraphs>55</Paragraphs>
  <ScaleCrop>false</ScaleCrop>
  <Company/>
  <LinksUpToDate>false</LinksUpToDate>
  <CharactersWithSpaces>27726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Germann, Jonathan (TR Product)</cp:lastModifiedBy>
  <cp:revision>2</cp:revision>
  <dcterms:created xsi:type="dcterms:W3CDTF">2024-12-19T15:08:00Z</dcterms:created>
  <dcterms:modified xsi:type="dcterms:W3CDTF">2024-12-19T15:08:00Z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0x01010081AE6AA801D6D644ACEC60B129935B95</vt:lpwstr>
  </property>
</Properties>
</file>