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r>
        <w:fldChar w:fldCharType="begin"/>
      </w:r>
      <w:r>
        <w:instrText xml:space="preserve"> SEQ CHAPTER \h \r 1</w:instrText>
      </w:r>
      <w:r>
        <w:fldChar w:fldCharType="end"/>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sz w:val="20"/>
        </w:rPr>
      </w:pPr>
      <w:r>
        <w:rPr>
          <w:sz w:val="20"/>
        </w:rPr>
        <w:t>IN THE COURT OF COMMON PLEAS OF ALLEGHENY COUNTY, PENNSYLVANIA</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tbl>
      <w:tblPr>
        <w:tblW w:w="0" w:type="auto"/>
        <w:tblInd w:w="2" w:type="dxa"/>
        <w:tblLayout w:type="fixed"/>
        <w:tblCellMar>
          <w:left w:w="0" w:type="dxa"/>
          <w:right w:w="0" w:type="dxa"/>
        </w:tblCellMar>
        <w:tblLook w:val="0000"/>
      </w:tblPr>
      <w:tblGrid>
        <w:gridCol w:w="3960"/>
        <w:gridCol w:w="648"/>
        <w:gridCol w:w="72"/>
        <w:gridCol w:w="720"/>
        <w:gridCol w:w="3960"/>
        <w:gridCol w:w="9147"/>
        <w:gridCol w:w="3960"/>
      </w:tblGrid>
      <w:tr w:rsidR="00352B44">
        <w:tblPrEx>
          <w:tblCellMar>
            <w:top w:w="0" w:type="dxa"/>
            <w:bottom w:w="0" w:type="dxa"/>
          </w:tblCellMar>
        </w:tblPrEx>
        <w:tc>
          <w:tcPr>
            <w:tcW w:w="3960" w:type="dxa"/>
            <w:tcMar>
              <w:left w:w="0" w:type="dxa"/>
              <w:right w:w="0" w:type="dxa"/>
            </w:tcMar>
          </w:tcPr>
          <w:p w:rsidR="00352B44" w:rsidRDefault="00352B44">
            <w:pPr>
              <w:keepLines/>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r>
              <w:rPr>
                <w:sz w:val="20"/>
              </w:rPr>
              <w:t>TAMARA BRUNOZZI, and GLEN RIGBY, her husband,</w:t>
            </w:r>
            <w:r>
              <w:rPr>
                <w:sz w:val="20"/>
              </w:rPr>
              <w:tab/>
            </w:r>
            <w:r>
              <w:rPr>
                <w:sz w:val="20"/>
              </w:rPr>
              <w:tab/>
              <w:t>Plaintiffs,</w:t>
            </w:r>
            <w:r>
              <w:rPr>
                <w:sz w:val="20"/>
              </w:rPr>
              <w:tab/>
              <w:t>vs.MICHELLE R. STRAKA, M.D.; WEINSTEIN IMAGING ASSOCIATES, P.C.; ROBERTA RENZELLI-CAIN, D.O.; and MERCY PRIMARY CARE, INC. a.k.a and/or t/d/b/a GREATER PITTSBURGH OB-GYN ASSOCIATES,</w:t>
            </w:r>
            <w:r>
              <w:rPr>
                <w:sz w:val="20"/>
              </w:rPr>
              <w:tab/>
            </w:r>
            <w:r>
              <w:rPr>
                <w:sz w:val="20"/>
              </w:rPr>
              <w:tab/>
              <w:t>Defendants.</w:t>
            </w:r>
          </w:p>
        </w:tc>
        <w:tc>
          <w:tcPr>
            <w:tcW w:w="648" w:type="dxa"/>
            <w:tcMar>
              <w:left w:w="0" w:type="dxa"/>
              <w:right w:w="0" w:type="dxa"/>
            </w:tcMar>
          </w:tcPr>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tc>
        <w:tc>
          <w:tcPr>
            <w:tcW w:w="72" w:type="dxa"/>
            <w:tcMar>
              <w:left w:w="0" w:type="dxa"/>
              <w:right w:w="0" w:type="dxa"/>
            </w:tcMar>
          </w:tcPr>
          <w:p w:rsidR="00352B44" w:rsidRDefault="00352B44">
            <w:pPr>
              <w:tabs>
                <w:tab w:val="left" w:pos="0"/>
                <w:tab w:val="left" w:pos="4968"/>
                <w:tab w:val="left" w:pos="6048"/>
                <w:tab w:val="left" w:pos="6480"/>
                <w:tab w:val="left" w:pos="7200"/>
                <w:tab w:val="left" w:pos="7920"/>
                <w:tab w:val="left" w:pos="8640"/>
              </w:tabs>
              <w:rPr>
                <w:sz w:val="20"/>
              </w:rPr>
            </w:pPr>
          </w:p>
        </w:tc>
        <w:tc>
          <w:tcPr>
            <w:tcW w:w="720" w:type="dxa"/>
            <w:tcMar>
              <w:left w:w="0" w:type="dxa"/>
              <w:right w:w="0" w:type="dxa"/>
            </w:tcMar>
          </w:tcPr>
          <w:p w:rsidR="00352B44" w:rsidRDefault="00352B44">
            <w:pPr>
              <w:tabs>
                <w:tab w:val="left" w:pos="0"/>
                <w:tab w:val="left" w:pos="4968"/>
                <w:tab w:val="left" w:pos="6048"/>
                <w:tab w:val="left" w:pos="6480"/>
                <w:tab w:val="left" w:pos="7200"/>
                <w:tab w:val="left" w:pos="7920"/>
                <w:tab w:val="left" w:pos="8640"/>
              </w:tabs>
              <w:rPr>
                <w:sz w:val="20"/>
              </w:rPr>
            </w:pPr>
          </w:p>
        </w:tc>
        <w:tc>
          <w:tcPr>
            <w:tcW w:w="3960" w:type="dxa"/>
            <w:tcMar>
              <w:left w:w="0" w:type="dxa"/>
              <w:right w:w="0" w:type="dxa"/>
            </w:tcMar>
          </w:tcPr>
          <w:p w:rsidR="00352B44" w:rsidRDefault="00352B44">
            <w:pPr>
              <w:keepLines/>
              <w:tabs>
                <w:tab w:val="left" w:pos="0"/>
                <w:tab w:val="left" w:pos="5760"/>
                <w:tab w:val="left" w:pos="6840"/>
                <w:tab w:val="left" w:pos="7200"/>
                <w:tab w:val="left" w:pos="7920"/>
                <w:tab w:val="left" w:pos="8640"/>
              </w:tabs>
              <w:rPr>
                <w:sz w:val="20"/>
              </w:rPr>
            </w:pPr>
            <w:r>
              <w:rPr>
                <w:sz w:val="20"/>
              </w:rPr>
              <w:t xml:space="preserve">CIVIL DIVISIONNo. GD-14-10013Code:  007Issue No:  </w:t>
            </w:r>
            <w:r>
              <w:rPr>
                <w:b/>
                <w:sz w:val="20"/>
              </w:rPr>
              <w:t>BRIEF IN OPPOSITION TO PLAINTIFFS' MOTION TO COMPEL PURSUANT TO ORDER OF COURT DATED JANUARY 11, 2018</w:t>
            </w:r>
            <w:r>
              <w:rPr>
                <w:sz w:val="20"/>
              </w:rPr>
              <w:t>Filed on behalf of Michelle R. Straka, M.D. and Weinstein Imaging Associates, P.C., DefendantsCounsel of Record for This Party:Marian Jean Patchen, EsquirePA I.D. 72880Corey C. Kirkwood, EsquirePA I.D. 321344MATIS BAUM O'CONNORFirm #983912 Fort Duquesne Blvd.Pittsburgh, PA  15222(412) 338-4750JURY TRIAL DEMANDED</w:t>
            </w:r>
            <w:r>
              <w:rPr>
                <w:b/>
                <w:sz w:val="20"/>
              </w:rPr>
              <w:t xml:space="preserve">Filed Electronically </w:t>
            </w:r>
          </w:p>
        </w:tc>
        <w:tc>
          <w:tcPr>
            <w:tcW w:w="9147" w:type="dxa"/>
            <w:tcMar>
              <w:left w:w="0" w:type="dxa"/>
              <w:right w:w="0" w:type="dxa"/>
            </w:tcMar>
          </w:tcPr>
          <w:p w:rsidR="00352B44" w:rsidRDefault="00352B44">
            <w:pPr>
              <w:tabs>
                <w:tab w:val="left" w:pos="0"/>
                <w:tab w:val="left" w:pos="5760"/>
                <w:tab w:val="left" w:pos="6840"/>
                <w:tab w:val="left" w:pos="7200"/>
                <w:tab w:val="left" w:pos="7920"/>
                <w:tab w:val="left" w:pos="8640"/>
              </w:tabs>
              <w:rPr>
                <w:sz w:val="20"/>
              </w:rPr>
            </w:pPr>
          </w:p>
        </w:tc>
        <w:tc>
          <w:tcPr>
            <w:tcW w:w="3960" w:type="dxa"/>
            <w:tcMar>
              <w:left w:w="0" w:type="dxa"/>
              <w:right w:w="0" w:type="dxa"/>
            </w:tcMar>
          </w:tcPr>
          <w:p w:rsidR="00352B44" w:rsidRDefault="00352B44">
            <w:pPr>
              <w:tabs>
                <w:tab w:val="left" w:pos="0"/>
                <w:tab w:val="left" w:pos="5760"/>
                <w:tab w:val="left" w:pos="6840"/>
                <w:tab w:val="left" w:pos="7200"/>
                <w:tab w:val="left" w:pos="7920"/>
                <w:tab w:val="left" w:pos="8640"/>
              </w:tabs>
              <w:rPr>
                <w:sz w:val="20"/>
              </w:rPr>
            </w:pPr>
          </w:p>
        </w:tc>
      </w:tr>
    </w:tbl>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sectPr w:rsidR="00352B44">
          <w:headerReference w:type="even" r:id="rId7"/>
          <w:headerReference w:type="default" r:id="rId8"/>
          <w:footerReference w:type="even" r:id="rId9"/>
          <w:footerReference w:type="default" r:id="rId10"/>
          <w:pgSz w:w="12240" w:h="15840"/>
          <w:pgMar w:top="1440" w:right="1440" w:bottom="1440" w:left="1440" w:header="720" w:footer="720" w:gutter="0"/>
          <w:cols w:space="720"/>
        </w:sect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0"/>
        </w:rPr>
      </w:pPr>
      <w:r>
        <w:rPr>
          <w:sz w:val="20"/>
        </w:rPr>
        <w:fldChar w:fldCharType="begin"/>
      </w:r>
      <w:r>
        <w:rPr>
          <w:sz w:val="20"/>
        </w:rPr>
        <w:instrText xml:space="preserve"> ADVANCE \y 72</w:instrText>
      </w:r>
      <w:r>
        <w:rPr>
          <w:sz w:val="20"/>
        </w:rPr>
        <w:fldChar w:fldCharType="end"/>
      </w:r>
      <w:r>
        <w:rPr>
          <w:sz w:val="20"/>
        </w:rPr>
        <w:t>IN THE COURT OF COMMON PLEAS OF ALLEGHENY COUNTY, PENNSYLVANIA</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r>
        <w:rPr>
          <w:sz w:val="20"/>
        </w:rPr>
        <w:t>TAMARA BRUNOZZI, and GLEN RIGBY, her husband,</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r>
        <w:rPr>
          <w:sz w:val="20"/>
        </w:rPr>
        <w:tab/>
      </w:r>
      <w:r>
        <w:rPr>
          <w:sz w:val="20"/>
        </w:rPr>
        <w:tab/>
        <w:t>Plaintiffs,</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r>
        <w:rPr>
          <w:sz w:val="20"/>
        </w:rPr>
        <w:tab/>
        <w:t>vs.</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r>
        <w:rPr>
          <w:sz w:val="20"/>
        </w:rPr>
        <w:t>MICHELLE R. STRAKA, M.D.; WEINSTEIN IMAGING ASSOCIATES, P.C.; ROBERTA RENZELLI-CAIN, D.O.; and MERCY PRIMARY CARE, INC. a.k.a and/or t/d/b/a GREATER PITTSBURGH OB-GYN ASSOCIATES,</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r>
        <w:rPr>
          <w:sz w:val="20"/>
        </w:rPr>
        <w:tab/>
      </w:r>
      <w:r>
        <w:rPr>
          <w:sz w:val="20"/>
        </w:rPr>
        <w:tab/>
        <w:t>Defendants.</w:t>
      </w:r>
    </w:p>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tbl>
      <w:tblPr>
        <w:tblW w:w="0" w:type="auto"/>
        <w:tblInd w:w="2" w:type="dxa"/>
        <w:tblLayout w:type="fixed"/>
        <w:tblCellMar>
          <w:left w:w="0" w:type="dxa"/>
          <w:right w:w="0" w:type="dxa"/>
        </w:tblCellMar>
        <w:tblLook w:val="0000"/>
      </w:tblPr>
      <w:tblGrid>
        <w:gridCol w:w="3960"/>
        <w:gridCol w:w="648"/>
        <w:gridCol w:w="72"/>
        <w:gridCol w:w="720"/>
        <w:gridCol w:w="3960"/>
        <w:gridCol w:w="9147"/>
        <w:gridCol w:w="3960"/>
      </w:tblGrid>
      <w:tr w:rsidR="00352B44">
        <w:tblPrEx>
          <w:tblCellMar>
            <w:top w:w="0" w:type="dxa"/>
            <w:bottom w:w="0" w:type="dxa"/>
          </w:tblCellMar>
        </w:tblPrEx>
        <w:tc>
          <w:tcPr>
            <w:tcW w:w="3960" w:type="dxa"/>
            <w:tcMar>
              <w:left w:w="0" w:type="dxa"/>
              <w:right w:w="0" w:type="dxa"/>
            </w:tcMar>
          </w:tcPr>
          <w:p w:rsidR="00352B44" w:rsidRDefault="00352B44">
            <w:pPr>
              <w:keepNext/>
              <w:keepLines/>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tc>
        <w:tc>
          <w:tcPr>
            <w:tcW w:w="648" w:type="dxa"/>
            <w:tcMar>
              <w:left w:w="0" w:type="dxa"/>
              <w:right w:w="0" w:type="dxa"/>
            </w:tcMar>
          </w:tcPr>
          <w:p w:rsidR="00352B44" w:rsidRDefault="00352B44">
            <w:pPr>
              <w:keepLines/>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ind w:right="5400"/>
              <w:rPr>
                <w:sz w:val="20"/>
              </w:rPr>
            </w:pPr>
          </w:p>
        </w:tc>
        <w:tc>
          <w:tcPr>
            <w:tcW w:w="72" w:type="dxa"/>
            <w:tcMar>
              <w:left w:w="0" w:type="dxa"/>
              <w:right w:w="0" w:type="dxa"/>
            </w:tcMar>
          </w:tcPr>
          <w:p w:rsidR="00352B44" w:rsidRDefault="00352B44">
            <w:pPr>
              <w:keepLines/>
              <w:tabs>
                <w:tab w:val="left" w:pos="0"/>
                <w:tab w:val="left" w:pos="3959"/>
              </w:tabs>
              <w:ind w:right="5400"/>
              <w:rPr>
                <w:sz w:val="20"/>
              </w:rPr>
            </w:pPr>
            <w:r>
              <w:rPr>
                <w:sz w:val="20"/>
              </w:rPr>
              <w:t>)))))))))))))))</w:t>
            </w:r>
          </w:p>
        </w:tc>
        <w:tc>
          <w:tcPr>
            <w:tcW w:w="720" w:type="dxa"/>
            <w:tcMar>
              <w:left w:w="0" w:type="dxa"/>
              <w:right w:w="0" w:type="dxa"/>
            </w:tcMar>
          </w:tcPr>
          <w:p w:rsidR="00352B44" w:rsidRDefault="00352B44">
            <w:pPr>
              <w:tabs>
                <w:tab w:val="left" w:pos="0"/>
                <w:tab w:val="left" w:pos="3959"/>
              </w:tabs>
              <w:ind w:right="5400"/>
              <w:rPr>
                <w:sz w:val="20"/>
              </w:rPr>
            </w:pPr>
          </w:p>
        </w:tc>
        <w:tc>
          <w:tcPr>
            <w:tcW w:w="3960" w:type="dxa"/>
            <w:tcMar>
              <w:left w:w="0" w:type="dxa"/>
              <w:right w:w="0" w:type="dxa"/>
            </w:tcMar>
          </w:tcPr>
          <w:p w:rsidR="00352B44" w:rsidRDefault="00352B44">
            <w:pPr>
              <w:tabs>
                <w:tab w:val="left" w:pos="0"/>
                <w:tab w:val="left" w:pos="3959"/>
              </w:tabs>
              <w:ind w:right="5400"/>
              <w:rPr>
                <w:sz w:val="20"/>
              </w:rPr>
            </w:pPr>
            <w:r>
              <w:rPr>
                <w:sz w:val="20"/>
              </w:rPr>
              <w:t>CIVIL DIVISIONNo. GD-14-10013Code:  007</w:t>
            </w:r>
          </w:p>
        </w:tc>
        <w:tc>
          <w:tcPr>
            <w:tcW w:w="9147" w:type="dxa"/>
            <w:tcMar>
              <w:left w:w="0" w:type="dxa"/>
              <w:right w:w="0" w:type="dxa"/>
            </w:tcMar>
          </w:tcPr>
          <w:p w:rsidR="00352B44" w:rsidRDefault="00352B44">
            <w:pPr>
              <w:tabs>
                <w:tab w:val="left" w:pos="0"/>
                <w:tab w:val="left" w:pos="3959"/>
              </w:tabs>
              <w:ind w:right="5400"/>
              <w:rPr>
                <w:sz w:val="20"/>
              </w:rPr>
            </w:pPr>
          </w:p>
        </w:tc>
        <w:tc>
          <w:tcPr>
            <w:tcW w:w="3960" w:type="dxa"/>
            <w:tcMar>
              <w:left w:w="0" w:type="dxa"/>
              <w:right w:w="0" w:type="dxa"/>
            </w:tcMar>
          </w:tcPr>
          <w:p w:rsidR="00352B44" w:rsidRDefault="00352B44">
            <w:pPr>
              <w:tabs>
                <w:tab w:val="left" w:pos="0"/>
                <w:tab w:val="left" w:pos="3959"/>
              </w:tabs>
              <w:ind w:right="5400"/>
              <w:rPr>
                <w:sz w:val="20"/>
              </w:rPr>
            </w:pPr>
          </w:p>
        </w:tc>
      </w:tr>
    </w:tbl>
    <w:p w:rsidR="00352B44" w:rsidRDefault="00352B44">
      <w:pPr>
        <w:tabs>
          <w:tab w:val="left" w:pos="-576"/>
          <w:tab w:val="left" w:pos="0"/>
          <w:tab w:val="left" w:pos="576"/>
          <w:tab w:val="left" w:pos="1152"/>
          <w:tab w:val="left" w:pos="1728"/>
          <w:tab w:val="left" w:pos="2304"/>
          <w:tab w:val="left" w:pos="2880"/>
          <w:tab w:val="left" w:pos="3456"/>
          <w:tab w:val="left" w:pos="3959"/>
        </w:tabs>
        <w:ind w:right="5400"/>
        <w:jc w:val="center"/>
        <w:rPr>
          <w:b/>
          <w:sz w:val="20"/>
        </w:rPr>
      </w:pPr>
      <w:r>
        <w:rPr>
          <w:b/>
          <w:sz w:val="20"/>
        </w:rPr>
        <w:t>BRIEF IN OPPOSITION TO PLAINTIFFS' MOTION TO COMPEL</w:t>
      </w:r>
    </w:p>
    <w:p w:rsidR="00352B44" w:rsidRDefault="00352B44">
      <w:pPr>
        <w:tabs>
          <w:tab w:val="left" w:pos="-576"/>
          <w:tab w:val="left" w:pos="0"/>
          <w:tab w:val="left" w:pos="576"/>
          <w:tab w:val="left" w:pos="1152"/>
          <w:tab w:val="left" w:pos="1728"/>
          <w:tab w:val="left" w:pos="2304"/>
          <w:tab w:val="left" w:pos="2880"/>
          <w:tab w:val="left" w:pos="3456"/>
          <w:tab w:val="left" w:pos="3959"/>
        </w:tabs>
        <w:ind w:right="5400"/>
        <w:jc w:val="center"/>
        <w:rPr>
          <w:sz w:val="20"/>
        </w:rPr>
      </w:pPr>
      <w:r>
        <w:rPr>
          <w:sz w:val="20"/>
        </w:rPr>
        <w:t xml:space="preserve"> </w:t>
      </w:r>
      <w:r>
        <w:rPr>
          <w:b/>
          <w:sz w:val="20"/>
          <w:u w:val="single"/>
        </w:rPr>
        <w:t>PURSUANT TO ORDER OF COURT DATED JANUARY 11, 2018</w:t>
      </w:r>
    </w:p>
    <w:p w:rsidR="00352B44" w:rsidRDefault="00352B44">
      <w:pPr>
        <w:tabs>
          <w:tab w:val="left" w:pos="-576"/>
          <w:tab w:val="left" w:pos="0"/>
          <w:tab w:val="left" w:pos="576"/>
          <w:tab w:val="left" w:pos="1152"/>
          <w:tab w:val="left" w:pos="1728"/>
          <w:tab w:val="left" w:pos="2304"/>
          <w:tab w:val="left" w:pos="2880"/>
          <w:tab w:val="left" w:pos="3456"/>
          <w:tab w:val="left" w:pos="3959"/>
        </w:tabs>
        <w:ind w:right="5400"/>
        <w:jc w:val="center"/>
        <w:rPr>
          <w:sz w:val="20"/>
        </w:rPr>
      </w:pPr>
    </w:p>
    <w:p w:rsidR="00352B44" w:rsidRDefault="00352B44">
      <w:pPr>
        <w:tabs>
          <w:tab w:val="left" w:pos="-576"/>
          <w:tab w:val="left" w:pos="0"/>
          <w:tab w:val="left" w:pos="576"/>
          <w:tab w:val="left" w:pos="1152"/>
          <w:tab w:val="left" w:pos="1728"/>
          <w:tab w:val="left" w:pos="2304"/>
          <w:tab w:val="left" w:pos="2880"/>
          <w:tab w:val="left" w:pos="3456"/>
          <w:tab w:val="left" w:pos="3959"/>
        </w:tabs>
        <w:spacing w:line="480" w:lineRule="auto"/>
        <w:ind w:right="5400"/>
        <w:rPr>
          <w:sz w:val="20"/>
        </w:rPr>
      </w:pPr>
      <w:r>
        <w:rPr>
          <w:sz w:val="20"/>
        </w:rPr>
        <w:tab/>
        <w:t>AND NOW, come Defendants, Michelle R. Straka, M.D. and Weinstein Imaging Associates, P.C., by and through their counsel, Matis Baum O'Connor, Marian Jean Patchen, Esquire and Corey C. Kirkwood, Esquire, and file the within Brief in Opposition to Plaintiffs' Motion to Compel Pursuant to Order of Court dated January 11, 2018 averring as follows:</w:t>
      </w:r>
    </w:p>
    <w:p w:rsidR="00352B44" w:rsidRDefault="00352B44">
      <w:pPr>
        <w:tabs>
          <w:tab w:val="left" w:pos="-576"/>
          <w:tab w:val="left" w:pos="0"/>
          <w:tab w:val="left" w:pos="576"/>
          <w:tab w:val="left" w:pos="1152"/>
          <w:tab w:val="left" w:pos="1728"/>
          <w:tab w:val="left" w:pos="2304"/>
          <w:tab w:val="left" w:pos="2880"/>
          <w:tab w:val="left" w:pos="3456"/>
          <w:tab w:val="left" w:pos="3959"/>
        </w:tabs>
        <w:spacing w:line="480" w:lineRule="auto"/>
        <w:ind w:right="5400"/>
        <w:jc w:val="center"/>
        <w:rPr>
          <w:sz w:val="20"/>
        </w:rPr>
      </w:pPr>
      <w:r>
        <w:rPr>
          <w:b/>
          <w:sz w:val="20"/>
          <w:u w:val="single"/>
        </w:rPr>
        <w:t>I.  FACTUAL AND PROCEDURAL HISTORY</w:t>
      </w:r>
    </w:p>
    <w:p w:rsidR="00352B44" w:rsidRDefault="00352B44">
      <w:pPr>
        <w:tabs>
          <w:tab w:val="left" w:pos="-576"/>
          <w:tab w:val="left" w:pos="0"/>
          <w:tab w:val="left" w:pos="576"/>
          <w:tab w:val="left" w:pos="1152"/>
          <w:tab w:val="left" w:pos="1728"/>
          <w:tab w:val="left" w:pos="2304"/>
          <w:tab w:val="left" w:pos="2880"/>
          <w:tab w:val="left" w:pos="3456"/>
          <w:tab w:val="left" w:pos="3959"/>
        </w:tabs>
        <w:spacing w:line="480" w:lineRule="auto"/>
        <w:ind w:right="5400"/>
        <w:rPr>
          <w:sz w:val="20"/>
        </w:rPr>
      </w:pPr>
      <w:r>
        <w:rPr>
          <w:sz w:val="20"/>
        </w:rPr>
        <w:tab/>
        <w:t xml:space="preserve">On June 9, 2014, Plaintiffs filed a Complaint in Civil Action setting forth allegations of medical negligence against all Defendants, including Michelle R. Straka, M.D. and Weinstein Imaging Associates, P.C.  Plaintiffs allege damages due to Defendants' alleged negligence in interpreting mammogram results.  Plaintiff-wife's treatment, which formed the basis of this civil action, was reviewed as part of Weinstein Imaging's annual peer review process.  Plaintiffs now seek to compel production of documents that are part of that peer review.  </w:t>
      </w:r>
    </w:p>
    <w:p w:rsidR="00352B44" w:rsidRDefault="00352B44">
      <w:pPr>
        <w:tabs>
          <w:tab w:val="left" w:pos="-576"/>
          <w:tab w:val="left" w:pos="0"/>
          <w:tab w:val="left" w:pos="576"/>
          <w:tab w:val="left" w:pos="1152"/>
          <w:tab w:val="left" w:pos="1728"/>
          <w:tab w:val="left" w:pos="2304"/>
          <w:tab w:val="left" w:pos="2880"/>
          <w:tab w:val="left" w:pos="3456"/>
          <w:tab w:val="left" w:pos="3959"/>
        </w:tabs>
        <w:spacing w:line="480" w:lineRule="auto"/>
        <w:ind w:right="5400"/>
        <w:rPr>
          <w:sz w:val="20"/>
        </w:rPr>
      </w:pPr>
      <w:r>
        <w:rPr>
          <w:sz w:val="20"/>
        </w:rPr>
        <w:tab/>
        <w:t xml:space="preserve">Plaintiffs' presented their Motion to Compel to Judge Folino on January 11, 2018.  At the argument, Plaintiffs argued that agents from the DEP read the peer review results while Defendants maintain they did not read the peer review results.  Judge Folino held there was a factual question of whether or not the DEP agents read the results of the peer review and provided thirty (30) days to create an evidentiary record with an additional twenty (20) days to brief the issue.  Pursuant to that Order, Defendants filed a signed and verified Affidavit by Dr. Chang wherein he states the DEP agents do not "review, interpret or assess the peer review results."  </w:t>
      </w:r>
      <w:r>
        <w:rPr>
          <w:i/>
          <w:sz w:val="20"/>
        </w:rPr>
        <w:t>See</w:t>
      </w:r>
      <w:r>
        <w:rPr>
          <w:sz w:val="20"/>
        </w:rPr>
        <w:t xml:space="preserve">, Affidavit to Create Evidentiary Record Pursuant to Order of Court dated January 11, 2018 attached hereto as Exhibit A.  As set forth below, Plaintiffs are not entitled to the documents identified in the Motion to Compel as they are deemed privileged and protected by the Pennsylvania Peer Review Protection Act ("PRPA").  63 P.S. § 425.4.  </w:t>
      </w:r>
    </w:p>
    <w:p w:rsidR="00352B44" w:rsidRDefault="00352B44">
      <w:pPr>
        <w:tabs>
          <w:tab w:val="left" w:pos="-576"/>
          <w:tab w:val="left" w:pos="0"/>
          <w:tab w:val="left" w:pos="576"/>
          <w:tab w:val="left" w:pos="1152"/>
          <w:tab w:val="left" w:pos="1728"/>
          <w:tab w:val="left" w:pos="2304"/>
          <w:tab w:val="left" w:pos="2880"/>
          <w:tab w:val="left" w:pos="3456"/>
          <w:tab w:val="left" w:pos="3959"/>
        </w:tabs>
        <w:spacing w:line="480" w:lineRule="auto"/>
        <w:ind w:right="5400"/>
        <w:jc w:val="center"/>
        <w:rPr>
          <w:sz w:val="20"/>
        </w:rPr>
      </w:pPr>
      <w:r>
        <w:rPr>
          <w:b/>
          <w:sz w:val="20"/>
          <w:u w:val="single"/>
        </w:rPr>
        <w:t>II.  ISSUE PRESENTED</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4751"/>
        </w:tabs>
        <w:ind w:left="4608" w:right="4608" w:hanging="4032"/>
        <w:rPr>
          <w:sz w:val="20"/>
        </w:rPr>
      </w:pPr>
      <w:r>
        <w:rPr>
          <w:sz w:val="20"/>
        </w:rPr>
        <w:t>WHETHER DOCUMENTS CREATED DURING AN ANNUAL PEER REVIEW PROCESS ARE PROTECTED UNDER THE PRPA.</w:t>
      </w:r>
      <w:r>
        <w:rPr>
          <w:sz w:val="20"/>
        </w:rPr>
        <w:tab/>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sz w:val="20"/>
        </w:rPr>
      </w:pPr>
      <w:r>
        <w:rPr>
          <w:sz w:val="20"/>
        </w:rPr>
        <w:tab/>
        <w:t>Suggested Answer:</w:t>
      </w:r>
      <w:r>
        <w:rPr>
          <w:sz w:val="20"/>
        </w:rPr>
        <w:tab/>
        <w:t>YES.</w:t>
      </w:r>
      <w:r>
        <w:rPr>
          <w:sz w:val="20"/>
        </w:rPr>
        <w:tab/>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jc w:val="center"/>
        <w:rPr>
          <w:sz w:val="20"/>
        </w:rPr>
      </w:pPr>
      <w:r>
        <w:rPr>
          <w:b/>
          <w:sz w:val="20"/>
          <w:u w:val="single"/>
        </w:rPr>
        <w:t>III.  ARGUMENT</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sz w:val="20"/>
        </w:rPr>
        <w:tab/>
        <w:t xml:space="preserve">In 1974, the PRPA was enacted to improve the quality of care rendered, reduce mortality and keep healthcare costs within reasonable bounds.  63 P.S. § 425.2; </w:t>
      </w:r>
      <w:r>
        <w:rPr>
          <w:i/>
          <w:sz w:val="20"/>
        </w:rPr>
        <w:t>Robinson v. Magovern</w:t>
      </w:r>
      <w:r>
        <w:rPr>
          <w:sz w:val="20"/>
        </w:rPr>
        <w:t xml:space="preserve">, 83 F.R.D. 79 (W.D. Pa. 1979).  Under the PRPA, information is protected from disclosure if it is generated by or in connection with "peer review" by a "professional healthcare provider."  63 P.S. § 425.2.  "Peer review" is defined as "the procedure for evaluation by professional healthcare providers of the quality and efficiency of services ordered or performed by other healthcare providers."  </w:t>
      </w:r>
      <w:r>
        <w:rPr>
          <w:i/>
          <w:sz w:val="20"/>
        </w:rPr>
        <w:t>Id.</w:t>
      </w:r>
      <w:r>
        <w:rPr>
          <w:sz w:val="20"/>
        </w:rPr>
        <w:t xml:space="preserve">  A "professional healthcare provider" is defined as "individuals or organizations who are approved, licensed or otherwise regulated to practice or operate in the healthcare field under the laws of the Commonwealth."</w:t>
      </w:r>
      <w:r>
        <w:rPr>
          <w:rStyle w:val="FootnoteReference"/>
          <w:rFonts w:ascii="Verdana" w:hAnsi="Verdana"/>
        </w:rPr>
        <w:footnoteReference w:id="1"/>
      </w:r>
      <w:r>
        <w:rPr>
          <w:rFonts w:ascii="Verdana" w:hAnsi="Verdana"/>
          <w:sz w:val="20"/>
        </w:rPr>
        <w:t xml:space="preserve">  </w:t>
      </w:r>
      <w:r>
        <w:rPr>
          <w:rFonts w:ascii="Verdana" w:hAnsi="Verdana"/>
          <w:i/>
          <w:sz w:val="20"/>
        </w:rPr>
        <w:t>Id.</w:t>
      </w:r>
      <w:r>
        <w:rPr>
          <w:rFonts w:ascii="Verdana" w:hAnsi="Verdana"/>
          <w:sz w:val="20"/>
        </w:rPr>
        <w:t xml:space="preserve">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Plaintiffs seek the production of a series of e-mails between Dr. Straka and Dr. Chang that were generated as part of an annual peer review process.  </w:t>
      </w:r>
      <w:r>
        <w:rPr>
          <w:rFonts w:ascii="Verdana" w:hAnsi="Verdana"/>
          <w:i/>
          <w:sz w:val="20"/>
        </w:rPr>
        <w:t>See</w:t>
      </w:r>
      <w:r>
        <w:rPr>
          <w:rFonts w:ascii="Verdana" w:hAnsi="Verdana"/>
          <w:sz w:val="20"/>
        </w:rPr>
        <w:t xml:space="preserve">, Plaintiffs' Motion to Compel, ¶31, attached as Exhibit B.  Plaintiffs also seek a "report" that was allegedly provided to the Department of Environmental Protection ("DEP").  </w:t>
      </w:r>
      <w:r>
        <w:rPr>
          <w:rFonts w:ascii="Verdana" w:hAnsi="Verdana"/>
          <w:i/>
          <w:sz w:val="20"/>
        </w:rPr>
        <w:t>Id.</w:t>
      </w:r>
      <w:r>
        <w:rPr>
          <w:rFonts w:ascii="Verdana" w:hAnsi="Verdana"/>
          <w:sz w:val="20"/>
        </w:rPr>
        <w:t xml:space="preserve"> at ¶30.  However, no such report was provided to the DEP.</w:t>
      </w:r>
      <w:r>
        <w:rPr>
          <w:rStyle w:val="FootnoteReference"/>
          <w:rFonts w:ascii="Verdana" w:hAnsi="Verdana"/>
        </w:rPr>
        <w:footnoteReference w:id="2"/>
      </w:r>
      <w:r>
        <w:rPr>
          <w:rFonts w:ascii="Verdana" w:hAnsi="Verdana"/>
          <w:sz w:val="20"/>
        </w:rPr>
        <w:t xml:space="preserve">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Plaintiffs argue that the PRPA does not apply because the peer review was done solely to comply with the Mammography Quality Standards Act ("MQSA").  This position is not supported by the language of the PRPA which states that a peer review is to be completed in accordance with "applicable laws, rules and regulations."  63 P.S. § 452.2. Further, the purpose of the MQSA is to "ensure the reliability, clarity and accuracy of interpretation of mammograms and standards for appropriate radiation dose."  42 U.S.C.A. § 263B(f)(1)(a).  Review organizations as defined by the PRPA are for the purposes of "evaluating and improving the quality of healthcare rendered, reducing morbidity or mortality rate, or establishing and enforcing guidelines designed to keep within reasonable bounds the cost of healthcare."  63 P.S. § 425.2.  Thus, even if a peer review was performed solely for the purpose of complying with the MQSA, which it was not in this case, the purpose of an internal audit under MQSA advances the goals and purpose of the PRPA.  A peer review performed consistent with the MQSA is still a peer review protected by the PRPA</w:t>
      </w:r>
      <w:r>
        <w:rPr>
          <w:rFonts w:ascii="Verdana" w:hAnsi="Verdana"/>
          <w:sz w:val="18"/>
        </w:rPr>
        <w:t>.</w:t>
      </w:r>
      <w:r>
        <w:rPr>
          <w:rStyle w:val="FootnoteReference"/>
          <w:rFonts w:ascii="Verdana" w:hAnsi="Verdana"/>
        </w:rPr>
        <w:footnoteReference w:id="3"/>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Plaintiffs attempt to support their argument by citing to </w:t>
      </w:r>
      <w:r>
        <w:rPr>
          <w:rFonts w:ascii="Verdana" w:hAnsi="Verdana"/>
          <w:i/>
          <w:sz w:val="20"/>
        </w:rPr>
        <w:t>Yocabet v. UPMC Presbyterian</w:t>
      </w:r>
      <w:r>
        <w:rPr>
          <w:rFonts w:ascii="Verdana" w:hAnsi="Verdana"/>
          <w:sz w:val="20"/>
        </w:rPr>
        <w:t xml:space="preserve"> as support.  119 A.3d 1012 (2015).</w:t>
      </w:r>
      <w:r>
        <w:rPr>
          <w:rStyle w:val="FootnoteReference"/>
          <w:rFonts w:ascii="Verdana" w:hAnsi="Verdana"/>
        </w:rPr>
        <w:footnoteReference w:id="4"/>
      </w:r>
      <w:r>
        <w:rPr>
          <w:rFonts w:ascii="Verdana" w:hAnsi="Verdana"/>
          <w:sz w:val="20"/>
        </w:rPr>
        <w:t xml:space="preserve"> In </w:t>
      </w:r>
      <w:r>
        <w:rPr>
          <w:rFonts w:ascii="Verdana" w:hAnsi="Verdana"/>
          <w:i/>
          <w:sz w:val="20"/>
        </w:rPr>
        <w:t>Yocabet</w:t>
      </w:r>
      <w:r>
        <w:rPr>
          <w:rFonts w:ascii="Verdana" w:hAnsi="Verdana"/>
          <w:sz w:val="20"/>
        </w:rPr>
        <w:t xml:space="preserve">, the defendant healthcare providers failed to recognize Hepatitis C in a kidney donor candidate and failed to stop a kidney transplant from taking place.  </w:t>
      </w:r>
      <w:r>
        <w:rPr>
          <w:rFonts w:ascii="Verdana" w:hAnsi="Verdana"/>
          <w:i/>
          <w:sz w:val="20"/>
        </w:rPr>
        <w:t>Id.</w:t>
      </w:r>
      <w:r>
        <w:rPr>
          <w:rFonts w:ascii="Verdana" w:hAnsi="Verdana"/>
          <w:sz w:val="20"/>
        </w:rPr>
        <w:t xml:space="preserve"> at 1017.  Due to that incident, the Pennsylvania Department of Health ("DOH"), on behalf of the Centers for Medicare and Medicaid Services, conducted an investigation of the UPMC transplant program.</w:t>
      </w:r>
      <w:r>
        <w:rPr>
          <w:rStyle w:val="FootnoteReference"/>
          <w:rFonts w:ascii="Verdana" w:hAnsi="Verdana"/>
        </w:rPr>
        <w:footnoteReference w:id="5"/>
      </w:r>
      <w:r>
        <w:rPr>
          <w:rFonts w:ascii="Verdana" w:hAnsi="Verdana"/>
          <w:sz w:val="20"/>
        </w:rPr>
        <w:t xml:space="preserve">  </w:t>
      </w:r>
      <w:r>
        <w:rPr>
          <w:rFonts w:ascii="Verdana" w:hAnsi="Verdana"/>
          <w:i/>
          <w:sz w:val="20"/>
        </w:rPr>
        <w:t>Id.</w:t>
      </w:r>
      <w:r>
        <w:rPr>
          <w:rFonts w:ascii="Verdana" w:hAnsi="Verdana"/>
          <w:sz w:val="20"/>
        </w:rPr>
        <w:t xml:space="preserve">  Plaintiff sought communications and documents that were submitted by UPMC to the DOH for purposes of that investigation.  </w:t>
      </w:r>
      <w:r>
        <w:rPr>
          <w:rFonts w:ascii="Verdana" w:hAnsi="Verdana"/>
          <w:i/>
          <w:sz w:val="20"/>
        </w:rPr>
        <w:t>Id.</w:t>
      </w:r>
      <w:r>
        <w:rPr>
          <w:rFonts w:ascii="Verdana" w:hAnsi="Verdana"/>
          <w:sz w:val="20"/>
        </w:rPr>
        <w:t xml:space="preserve">  The Court allowed plaintiff access to these documents finding that the investigation was not part of a peer review process.  </w:t>
      </w:r>
      <w:r>
        <w:rPr>
          <w:rFonts w:ascii="Verdana" w:hAnsi="Verdana"/>
          <w:i/>
          <w:sz w:val="20"/>
        </w:rPr>
        <w:t>Id.</w:t>
      </w:r>
      <w:r>
        <w:rPr>
          <w:rFonts w:ascii="Verdana" w:hAnsi="Verdana"/>
          <w:sz w:val="20"/>
        </w:rPr>
        <w:t xml:space="preserve"> at 1024.  In coming to that conclusion, the Court found that UPMC was not participating in the investigation to police its own activities as required by the PRPA.  </w:t>
      </w:r>
      <w:r>
        <w:rPr>
          <w:rFonts w:ascii="Verdana" w:hAnsi="Verdana"/>
          <w:i/>
          <w:sz w:val="20"/>
        </w:rPr>
        <w:t>Id.</w:t>
      </w:r>
      <w:r>
        <w:rPr>
          <w:rFonts w:ascii="Verdana" w:hAnsi="Verdana"/>
          <w:sz w:val="20"/>
        </w:rPr>
        <w:t xml:space="preserve"> at 1023.  Instead, this review was conducted by a state agency on behalf of a federal agency and was done to determine whether or not UPMC could retain the right to receive payments from Medicare or Medicaid.</w:t>
      </w:r>
      <w:r>
        <w:rPr>
          <w:rStyle w:val="FootnoteReference"/>
          <w:rFonts w:ascii="Verdana" w:hAnsi="Verdana"/>
        </w:rPr>
        <w:footnoteReference w:id="6"/>
      </w:r>
      <w:r>
        <w:rPr>
          <w:rFonts w:ascii="Verdana" w:hAnsi="Verdana"/>
          <w:sz w:val="20"/>
        </w:rPr>
        <w:t xml:space="preserve">  </w:t>
      </w:r>
      <w:r>
        <w:rPr>
          <w:rFonts w:ascii="Verdana" w:hAnsi="Verdana"/>
          <w:i/>
          <w:sz w:val="20"/>
        </w:rPr>
        <w:t>Id.</w:t>
      </w:r>
      <w:r>
        <w:rPr>
          <w:rFonts w:ascii="Verdana" w:hAnsi="Verdana"/>
          <w:sz w:val="20"/>
        </w:rPr>
        <w:t xml:space="preserve">  Thus, the Court held that the PRPA was not applicable because this investigation did not involve one healthcare professional reviewing another healthcare professional.  </w:t>
      </w:r>
      <w:r>
        <w:rPr>
          <w:rFonts w:ascii="Verdana" w:hAnsi="Verdana"/>
          <w:i/>
          <w:sz w:val="20"/>
        </w:rPr>
        <w:t>Id.</w:t>
      </w:r>
      <w:r>
        <w:rPr>
          <w:rFonts w:ascii="Verdana" w:hAnsi="Verdana"/>
          <w:sz w:val="20"/>
        </w:rPr>
        <w:t xml:space="preserve">  The Court opined that while DOH was using healthcare professionals to perform the review, </w:t>
      </w:r>
      <w:r>
        <w:rPr>
          <w:rFonts w:ascii="Verdana" w:hAnsi="Verdana"/>
          <w:i/>
          <w:sz w:val="20"/>
        </w:rPr>
        <w:t>DOH was the entity responsible for the review and DOH is not a healthcare provider.</w:t>
      </w:r>
      <w:r>
        <w:rPr>
          <w:rFonts w:ascii="Verdana" w:hAnsi="Verdana"/>
          <w:sz w:val="20"/>
        </w:rPr>
        <w:t xml:space="preserve">  </w:t>
      </w:r>
      <w:r>
        <w:rPr>
          <w:rFonts w:ascii="Verdana" w:hAnsi="Verdana"/>
          <w:i/>
          <w:sz w:val="20"/>
        </w:rPr>
        <w:t>Id.</w:t>
      </w:r>
      <w:r>
        <w:rPr>
          <w:rFonts w:ascii="Verdana" w:hAnsi="Verdana"/>
          <w:sz w:val="20"/>
        </w:rPr>
        <w:t xml:space="preserve">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Plaintiffs argue that </w:t>
      </w:r>
      <w:r>
        <w:rPr>
          <w:rFonts w:ascii="Verdana" w:hAnsi="Verdana"/>
          <w:i/>
          <w:sz w:val="20"/>
        </w:rPr>
        <w:t>Yocabet</w:t>
      </w:r>
      <w:r>
        <w:rPr>
          <w:rFonts w:ascii="Verdana" w:hAnsi="Verdana"/>
          <w:sz w:val="20"/>
        </w:rPr>
        <w:t xml:space="preserve"> is applicable to this case because the e-mails sought were generated during an audit required by the MQSA which the DEP is responsible for oversight of.  The facts of the current case are wholly and completely distinguishable from </w:t>
      </w:r>
      <w:r>
        <w:rPr>
          <w:rFonts w:ascii="Verdana" w:hAnsi="Verdana"/>
          <w:i/>
          <w:sz w:val="20"/>
        </w:rPr>
        <w:t>Yocabet</w:t>
      </w:r>
      <w:r>
        <w:rPr>
          <w:rFonts w:ascii="Verdana" w:hAnsi="Verdana"/>
          <w:sz w:val="20"/>
        </w:rPr>
        <w:t xml:space="preserve">.  The documents sought by Plaintiffs were not generated as the result of an investigation performed to determine Medicare eligibility following a bad outcome.  The sought after e-mails were generated during a yearly peer review process performed by the Peer Review Committee at Weinstein Imaging.  </w:t>
      </w:r>
      <w:r>
        <w:rPr>
          <w:rFonts w:ascii="Verdana" w:hAnsi="Verdana"/>
          <w:i/>
          <w:sz w:val="20"/>
        </w:rPr>
        <w:t>See</w:t>
      </w:r>
      <w:r>
        <w:rPr>
          <w:rFonts w:ascii="Verdana" w:hAnsi="Verdana"/>
          <w:sz w:val="20"/>
        </w:rPr>
        <w:t>, Exhibit D, p. 110, ll 13-16, 116, ll 2-6.  Dr. Chang testified that the mammography audit required under the MQSA is part of the peer review system at Weinstein Imaging:</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Now, Dr. Chang, are you familiar with the term "peer review"?</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Yes.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And do you have or perform peer review at Weinstein Imaging?</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 xml:space="preserve">Yes.  </w:t>
      </w:r>
      <w:r>
        <w:rPr>
          <w:rFonts w:ascii="Verdana" w:hAnsi="Verdana"/>
          <w:i/>
          <w:sz w:val="20"/>
        </w:rPr>
        <w:t>The mammography audit I was referring to is part of the peer review system.</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jc w:val="center"/>
        <w:rPr>
          <w:rFonts w:ascii="Verdana" w:hAnsi="Verdana"/>
          <w:sz w:val="20"/>
        </w:rPr>
      </w:pPr>
      <w:r>
        <w:rPr>
          <w:rFonts w:ascii="Verdana" w:hAnsi="Verdana"/>
          <w:sz w:val="20"/>
        </w:rPr>
        <w:t>. .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jc w:val="center"/>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 xml:space="preserve">And you just referred to a peer review system.  If you could describe for me what the peer review system is.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So based on the mammography audit I perform, I identify all the cases during a given year that were deemed to be interval cancers.  So those are cancers that are diagnosed within twelve months of a mammogram that is considered benign or negative on the initial interpretation.  And then those — I send out a list to all of the doctors, so that we can review them.  Part of it is a learning experience, and part of it is for the audit.</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It is my understanding that the peer review committee formed at Weinstein Imaging was comprised of all of the physicians?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 xml:space="preserve">Yes.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Did Dr. Straka participate in the review of her own reading of Ms. Brunozzi's films?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Yes.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jc w:val="center"/>
        <w:rPr>
          <w:rFonts w:ascii="Verdana" w:hAnsi="Verdana"/>
          <w:sz w:val="20"/>
        </w:rPr>
      </w:pPr>
      <w:r>
        <w:rPr>
          <w:rFonts w:ascii="Verdana" w:hAnsi="Verdana"/>
          <w:sz w:val="20"/>
        </w:rPr>
        <w:t>. .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Without getting into the substance of what the discussion may have been, is it then — is there a meeting at which you discuss what your varying opinions are about these medical record numbers and the exam dates that have been looked at?</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 xml:space="preserve">No.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How do you come to a result or how do you reconcile these?</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 xml:space="preserve">So as part of the audit, I then distribute the statistics, as well as the interval cancer analysis, the false negative analysis, on paper.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And to whom do you distribute it?</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No.  Actually, I send it out via e-mail.</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Q.</w:t>
      </w:r>
      <w:r>
        <w:rPr>
          <w:rFonts w:ascii="Verdana" w:hAnsi="Verdana"/>
          <w:sz w:val="20"/>
        </w:rPr>
        <w:tab/>
        <w:t>And to whom do you distribute it?</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To all doctors and our business manager and part of it to our mammography lead techs.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8780"/>
        </w:tabs>
        <w:ind w:left="1728" w:right="576" w:hanging="1152"/>
        <w:rPr>
          <w:rFonts w:ascii="Verdana" w:hAnsi="Verdana"/>
          <w:sz w:val="20"/>
        </w:rPr>
      </w:pPr>
      <w:r>
        <w:rPr>
          <w:rFonts w:ascii="Verdana" w:hAnsi="Verdana"/>
          <w:sz w:val="20"/>
        </w:rPr>
        <w:t>Q.</w:t>
      </w:r>
      <w:r>
        <w:rPr>
          <w:rFonts w:ascii="Verdana" w:hAnsi="Verdana"/>
          <w:sz w:val="20"/>
        </w:rPr>
        <w:tab/>
        <w:t>And I think — is this peer review one in the same as the quality assurance measures that you take to comply with the statute?</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728" w:right="1152" w:hanging="576"/>
        <w:rPr>
          <w:rFonts w:ascii="Verdana" w:hAnsi="Verdana"/>
          <w:sz w:val="20"/>
        </w:rPr>
      </w:pPr>
      <w:r>
        <w:rPr>
          <w:rFonts w:ascii="Verdana" w:hAnsi="Verdana"/>
          <w:sz w:val="20"/>
        </w:rPr>
        <w:t>A.</w:t>
      </w:r>
      <w:r>
        <w:rPr>
          <w:rFonts w:ascii="Verdana" w:hAnsi="Verdana"/>
          <w:sz w:val="20"/>
        </w:rPr>
        <w:tab/>
        <w:t>It is all part of the same.</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207"/>
        </w:tabs>
        <w:ind w:left="1152" w:right="1152"/>
        <w:rPr>
          <w:rFonts w:ascii="Verdana" w:hAnsi="Verdana"/>
          <w:sz w:val="20"/>
        </w:rPr>
      </w:pPr>
      <w:r>
        <w:rPr>
          <w:rFonts w:ascii="Verdana" w:hAnsi="Verdana"/>
          <w:i/>
          <w:sz w:val="20"/>
        </w:rPr>
        <w:t>See</w:t>
      </w:r>
      <w:r>
        <w:rPr>
          <w:rFonts w:ascii="Verdana" w:hAnsi="Verdana"/>
          <w:sz w:val="20"/>
        </w:rPr>
        <w:t>, Exhibit D, p. 11, ll 10-23; p. 116, ll 1-6; pp. 117-118, ll 21-1. (Emphasis added).</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 xml:space="preserve">The e-mails Plaintiffs seek were generated as a part of this review process described by Dr. Chang.  Thus, the e-mails fall under the protection of the PRPA as they were the result of healthcare providers reviewing other internal healthcare providers during an annual peer review process.  These e-mails are not in any way similar to the documents provided to the DOH during the investigation in </w:t>
      </w:r>
      <w:r>
        <w:rPr>
          <w:rFonts w:ascii="Verdana" w:hAnsi="Verdana"/>
          <w:i/>
          <w:sz w:val="20"/>
        </w:rPr>
        <w:t>Yocabet</w:t>
      </w:r>
      <w:r>
        <w:rPr>
          <w:rFonts w:ascii="Verdana" w:hAnsi="Verdana"/>
          <w:sz w:val="20"/>
        </w:rPr>
        <w:t>.</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Plaintiffs argue that "since the Pennsylvania DEP is not a healthcare provider, it cannot by definition engage in peer review during inspection."  </w:t>
      </w:r>
      <w:r>
        <w:rPr>
          <w:rFonts w:ascii="Verdana" w:hAnsi="Verdana"/>
          <w:i/>
          <w:sz w:val="20"/>
        </w:rPr>
        <w:t>See</w:t>
      </w:r>
      <w:r>
        <w:rPr>
          <w:rFonts w:ascii="Verdana" w:hAnsi="Verdana"/>
          <w:sz w:val="20"/>
        </w:rPr>
        <w:t xml:space="preserve">, Exhibit B ¶3.  Plaintiffs are correct.  The DEP is not a healthcare provider and cannot engage in peer review during inspection.  However, </w:t>
      </w:r>
      <w:r>
        <w:rPr>
          <w:rFonts w:ascii="Verdana" w:hAnsi="Verdana"/>
          <w:i/>
          <w:sz w:val="20"/>
        </w:rPr>
        <w:t>that is not what occurred in this case</w:t>
      </w:r>
      <w:r>
        <w:rPr>
          <w:rFonts w:ascii="Verdana" w:hAnsi="Verdana"/>
          <w:sz w:val="20"/>
        </w:rPr>
        <w:t xml:space="preserve">.  As described above, Weinstein Imaging has an annual peer review process.  As part of that peer review process, a mammography audit is performed.  The MQSA, in its effort to "ensure the reliability, clarity and accuracy of interpretation of mammograms and standards for appropriate radiation dose", has made a yearly mammography audit mandatory.  The DEP's role is simply to confirm that the audit was completed.  They do not "review, interpret or assess the peer review results."  Exhibit A, ¶5.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The review, as described by Dr. Chang, is done by healthcare professionals at Weinstein Imaging reviewing the quality of work of other healthcare professionals at Weinstein Imaging to ensure the reliability, clarity and accuracy of interpretation of mammograms.  This is the exact type of review contemplated and protected by the PRPA.  Dr. Chang testified that the report generated after this review includes statements like, "Dr. C has too high of a recall rate and needs to try to lower that" and "the stereostatic biopsy rate might be too low."  </w:t>
      </w:r>
      <w:r>
        <w:rPr>
          <w:rFonts w:ascii="Verdana" w:hAnsi="Verdana"/>
          <w:i/>
          <w:sz w:val="20"/>
        </w:rPr>
        <w:t>See</w:t>
      </w:r>
      <w:r>
        <w:rPr>
          <w:rFonts w:ascii="Verdana" w:hAnsi="Verdana"/>
          <w:sz w:val="20"/>
        </w:rPr>
        <w:t xml:space="preserve">, Exhibit D, p. 119, ll 14-17.  Allowing Plaintiffs access to an annual peer review report where healthcare providers are openly criticizing their colleagues in an effort to improve the quality of care rendered would undermine the goal of the PRPA to encourage "free and frank discussion by review organizations."  </w:t>
      </w:r>
      <w:r>
        <w:rPr>
          <w:rFonts w:ascii="Verdana" w:hAnsi="Verdana"/>
          <w:i/>
          <w:sz w:val="20"/>
        </w:rPr>
        <w:t>Sanderson v. Brine</w:t>
      </w:r>
      <w:r>
        <w:rPr>
          <w:rFonts w:ascii="Verdana" w:hAnsi="Verdana"/>
          <w:sz w:val="20"/>
        </w:rPr>
        <w:t>, 522 A.2d 1138 (Pa. Super. 1987).</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At oral argument on January 11, 2018, Plaintiffs argued that the PRPA sheds its cloak of confidentiality if an individual outside of the peer review committee reads the document.</w:t>
      </w:r>
      <w:r>
        <w:rPr>
          <w:rStyle w:val="FootnoteReference"/>
          <w:rFonts w:ascii="Verdana" w:hAnsi="Verdana"/>
        </w:rPr>
        <w:footnoteReference w:id="7"/>
      </w:r>
      <w:r>
        <w:rPr>
          <w:rFonts w:ascii="Verdana" w:hAnsi="Verdana"/>
          <w:sz w:val="20"/>
        </w:rPr>
        <w:t xml:space="preserve">  In accordance with Judge Folino's holding at argument, Dr. Chang signed and verified an Affidavit that states the DEP agents do not "review, interpret or assess the peer review results."  Exhibit A, ¶5.  Thus, even if Plaintiffs are correct about peer review privilege being lost if someone outside of the committee views the results, the record now plainly states that no one outside of the peer review committee reviews the results.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  Plaintiffs further argue that "records that a healthcare provider must gather in the ordinary course of its business, even if it uses those in the peer review process are not protected from discovery."  </w:t>
      </w:r>
      <w:r>
        <w:rPr>
          <w:rFonts w:ascii="Verdana" w:hAnsi="Verdana"/>
          <w:i/>
          <w:sz w:val="20"/>
        </w:rPr>
        <w:t>See</w:t>
      </w:r>
      <w:r>
        <w:rPr>
          <w:rFonts w:ascii="Verdana" w:hAnsi="Verdana"/>
          <w:sz w:val="20"/>
        </w:rPr>
        <w:t xml:space="preserve">, Exhibit C.  First, the records Plaintiffs seek are not gathered in the ordinary course of business.  They are gathered as part of a peer review process to evaluate and improve the quality of healthcare rendered at Weinstein Imaging.  Second, the authorities cited by Plaintiffs to advance this argument </w:t>
      </w:r>
      <w:r>
        <w:rPr>
          <w:rFonts w:ascii="Verdana" w:hAnsi="Verdana"/>
          <w:i/>
          <w:sz w:val="20"/>
        </w:rPr>
        <w:t>do not support their position</w:t>
      </w:r>
      <w:r>
        <w:rPr>
          <w:rFonts w:ascii="Verdana" w:hAnsi="Verdana"/>
          <w:sz w:val="20"/>
        </w:rPr>
        <w:t xml:space="preserve">. Plaintiffs cite to:  </w:t>
      </w:r>
      <w:r>
        <w:rPr>
          <w:rFonts w:ascii="Verdana" w:hAnsi="Verdana"/>
          <w:i/>
          <w:sz w:val="20"/>
        </w:rPr>
        <w:t>Lindsay v. Bosta</w:t>
      </w:r>
      <w:r>
        <w:rPr>
          <w:rFonts w:ascii="Verdana" w:hAnsi="Verdana"/>
          <w:sz w:val="20"/>
        </w:rPr>
        <w:t xml:space="preserve">, Lexis 222 (Allegheny Co., Wettick, J. 1999); </w:t>
      </w:r>
      <w:r>
        <w:rPr>
          <w:rFonts w:ascii="Verdana" w:hAnsi="Verdana"/>
          <w:i/>
          <w:sz w:val="20"/>
        </w:rPr>
        <w:t>Vaccaro v. Scranton Quincy Hospital</w:t>
      </w:r>
      <w:r>
        <w:rPr>
          <w:rFonts w:ascii="Verdana" w:hAnsi="Verdana"/>
          <w:sz w:val="20"/>
        </w:rPr>
        <w:t xml:space="preserve">, 14-cv-7675 (Lackawanna Co., Nealon, J. 2015); </w:t>
      </w:r>
      <w:r>
        <w:rPr>
          <w:rFonts w:ascii="Verdana" w:hAnsi="Verdana"/>
          <w:i/>
          <w:sz w:val="20"/>
        </w:rPr>
        <w:t>Atkins v. Pottstown Memorial Medical Center</w:t>
      </w:r>
      <w:r>
        <w:rPr>
          <w:rFonts w:ascii="Verdana" w:hAnsi="Verdana"/>
          <w:sz w:val="20"/>
        </w:rPr>
        <w:t xml:space="preserve">, 634 A.2d 258 (Pa. Super. 1993); </w:t>
      </w:r>
      <w:r>
        <w:rPr>
          <w:rFonts w:ascii="Verdana" w:hAnsi="Verdana"/>
          <w:i/>
          <w:sz w:val="20"/>
        </w:rPr>
        <w:t>Crawford v. Nedurian</w:t>
      </w:r>
      <w:r>
        <w:rPr>
          <w:rFonts w:ascii="Verdana" w:hAnsi="Verdana"/>
          <w:sz w:val="20"/>
        </w:rPr>
        <w:t xml:space="preserve">, 20 D&amp;C4th 41'9 (Com. P. Clinton Co. 1994); </w:t>
      </w:r>
      <w:r>
        <w:rPr>
          <w:rFonts w:ascii="Verdana" w:hAnsi="Verdana"/>
          <w:i/>
          <w:sz w:val="20"/>
        </w:rPr>
        <w:t>Hanzsek v. McDonough</w:t>
      </w:r>
      <w:r>
        <w:rPr>
          <w:rFonts w:ascii="Verdana" w:hAnsi="Verdana"/>
          <w:sz w:val="20"/>
        </w:rPr>
        <w:t xml:space="preserve">, 44 D&amp;C3d 639 (Com. P. Lehigh Co. 1987); </w:t>
      </w:r>
      <w:r>
        <w:rPr>
          <w:rFonts w:ascii="Verdana" w:hAnsi="Verdana"/>
          <w:i/>
          <w:sz w:val="20"/>
        </w:rPr>
        <w:t>Hannis v. Sacred Heart Hospital</w:t>
      </w:r>
      <w:r>
        <w:rPr>
          <w:rFonts w:ascii="Verdana" w:hAnsi="Verdana"/>
          <w:sz w:val="20"/>
        </w:rPr>
        <w:t xml:space="preserve">, 96-C-965 (Com. P. Lehigh Co. November 24, 1988); </w:t>
      </w:r>
      <w:r>
        <w:rPr>
          <w:rFonts w:ascii="Verdana" w:hAnsi="Verdana"/>
          <w:i/>
          <w:sz w:val="20"/>
        </w:rPr>
        <w:t>Plappert v. Kelley</w:t>
      </w:r>
      <w:r>
        <w:rPr>
          <w:rFonts w:ascii="Verdana" w:hAnsi="Verdana"/>
          <w:sz w:val="20"/>
        </w:rPr>
        <w:t xml:space="preserve">, 21 D&amp;C4th 313 (Com. P. Lackawanna Co. 1993).  </w:t>
      </w:r>
      <w:r>
        <w:rPr>
          <w:rFonts w:ascii="Verdana" w:hAnsi="Verdana"/>
          <w:i/>
          <w:sz w:val="20"/>
        </w:rPr>
        <w:t>Crawford, Atkins</w:t>
      </w:r>
      <w:r>
        <w:rPr>
          <w:rFonts w:ascii="Verdana" w:hAnsi="Verdana"/>
          <w:sz w:val="20"/>
        </w:rPr>
        <w:t xml:space="preserve"> and </w:t>
      </w:r>
      <w:r>
        <w:rPr>
          <w:rFonts w:ascii="Verdana" w:hAnsi="Verdana"/>
          <w:i/>
          <w:sz w:val="20"/>
        </w:rPr>
        <w:t>Hanzsek</w:t>
      </w:r>
      <w:r>
        <w:rPr>
          <w:rFonts w:ascii="Verdana" w:hAnsi="Verdana"/>
          <w:sz w:val="20"/>
        </w:rPr>
        <w:t xml:space="preserve"> all involve plaintiffs seeking the production of incident reports which Pennsylvania Courts have declared discoverable.  </w:t>
      </w:r>
      <w:r>
        <w:rPr>
          <w:rFonts w:ascii="Verdana" w:hAnsi="Verdana"/>
          <w:i/>
          <w:sz w:val="20"/>
        </w:rPr>
        <w:t>Atkins</w:t>
      </w:r>
      <w:r>
        <w:rPr>
          <w:rFonts w:ascii="Verdana" w:hAnsi="Verdana"/>
          <w:sz w:val="20"/>
        </w:rPr>
        <w:t xml:space="preserve"> at 260.  </w:t>
      </w:r>
      <w:r>
        <w:rPr>
          <w:rFonts w:ascii="Verdana" w:hAnsi="Verdana"/>
          <w:i/>
          <w:sz w:val="20"/>
        </w:rPr>
        <w:t xml:space="preserve">Lindsay </w:t>
      </w:r>
      <w:r>
        <w:rPr>
          <w:rFonts w:ascii="Verdana" w:hAnsi="Verdana"/>
          <w:sz w:val="20"/>
        </w:rPr>
        <w:t xml:space="preserve">dealt with a hospital risk manager who refused to answer questions about credentialing of doctors during a deposition.  The Court held that credentialing applications are not protected by the PRPA but evaluations of doctors by other doctors are protected by the PRPA.  </w:t>
      </w:r>
      <w:r>
        <w:rPr>
          <w:rFonts w:ascii="Verdana" w:hAnsi="Verdana"/>
          <w:i/>
          <w:sz w:val="20"/>
        </w:rPr>
        <w:t>Id.</w:t>
      </w:r>
      <w:r>
        <w:rPr>
          <w:rFonts w:ascii="Verdana" w:hAnsi="Verdana"/>
          <w:sz w:val="20"/>
        </w:rPr>
        <w:t xml:space="preserve"> at 20.  </w:t>
      </w:r>
      <w:r>
        <w:rPr>
          <w:rFonts w:ascii="Verdana" w:hAnsi="Verdana"/>
          <w:i/>
          <w:sz w:val="20"/>
        </w:rPr>
        <w:t>Hannis</w:t>
      </w:r>
      <w:r>
        <w:rPr>
          <w:rFonts w:ascii="Verdana" w:hAnsi="Verdana"/>
          <w:sz w:val="20"/>
        </w:rPr>
        <w:t xml:space="preserve"> is an unpublished opinion out of Lehigh County to which we do not have access.  </w:t>
      </w:r>
      <w:r>
        <w:rPr>
          <w:rFonts w:ascii="Verdana" w:hAnsi="Verdana"/>
          <w:i/>
          <w:sz w:val="20"/>
        </w:rPr>
        <w:t>Vaccaro</w:t>
      </w:r>
      <w:r>
        <w:rPr>
          <w:rFonts w:ascii="Verdana" w:hAnsi="Verdana"/>
          <w:sz w:val="20"/>
        </w:rPr>
        <w:t xml:space="preserve"> does not discuss the PRPA at all.</w:t>
      </w:r>
      <w:r>
        <w:rPr>
          <w:rStyle w:val="FootnoteReference"/>
          <w:rFonts w:ascii="Verdana" w:hAnsi="Verdana"/>
        </w:rPr>
        <w:footnoteReference w:id="8"/>
      </w:r>
      <w:r>
        <w:rPr>
          <w:rFonts w:ascii="Verdana" w:hAnsi="Verdana"/>
          <w:sz w:val="20"/>
        </w:rPr>
        <w:t xml:space="preserve">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 xml:space="preserve">In </w:t>
      </w:r>
      <w:r>
        <w:rPr>
          <w:rFonts w:ascii="Verdana" w:hAnsi="Verdana"/>
          <w:i/>
          <w:sz w:val="20"/>
        </w:rPr>
        <w:t>Plappert</w:t>
      </w:r>
      <w:r>
        <w:rPr>
          <w:rFonts w:ascii="Verdana" w:hAnsi="Verdana"/>
          <w:sz w:val="20"/>
        </w:rPr>
        <w:t>, plaintiffs sought information regarding the rate of staph infections at the defendant hospital.  The Court held that information available from original sources is not protected by the PRPA even if a peer review committee relies on that information.</w:t>
      </w:r>
      <w:r>
        <w:rPr>
          <w:rStyle w:val="FootnoteReference"/>
          <w:rFonts w:ascii="Verdana" w:hAnsi="Verdana"/>
        </w:rPr>
        <w:footnoteReference w:id="9"/>
      </w:r>
      <w:r>
        <w:rPr>
          <w:rFonts w:ascii="Verdana" w:hAnsi="Verdana"/>
          <w:sz w:val="20"/>
        </w:rPr>
        <w:t xml:space="preserve">  </w:t>
      </w:r>
      <w:r>
        <w:rPr>
          <w:rFonts w:ascii="Verdana" w:hAnsi="Verdana"/>
          <w:i/>
          <w:sz w:val="20"/>
        </w:rPr>
        <w:t xml:space="preserve">Id. </w:t>
      </w:r>
      <w:r>
        <w:rPr>
          <w:rFonts w:ascii="Verdana" w:hAnsi="Verdana"/>
          <w:sz w:val="20"/>
        </w:rPr>
        <w:t xml:space="preserve">at 316. Defendant hospital was required to produce the information about staph infection rates because the patient's medical records — an original source — contained the staph infection information.  </w:t>
      </w:r>
      <w:r>
        <w:rPr>
          <w:rFonts w:ascii="Verdana" w:hAnsi="Verdana"/>
          <w:i/>
          <w:sz w:val="20"/>
        </w:rPr>
        <w:t>Id.</w:t>
      </w:r>
      <w:r>
        <w:rPr>
          <w:rFonts w:ascii="Verdana" w:hAnsi="Verdana"/>
          <w:sz w:val="20"/>
        </w:rPr>
        <w:t xml:space="preserve">  In fact, all the published cases cited by Plaintiffs relied on the fact that the information sought by plaintiffs was available from original sources.  </w:t>
      </w:r>
      <w:r>
        <w:rPr>
          <w:rFonts w:ascii="Verdana" w:hAnsi="Verdana"/>
          <w:i/>
          <w:sz w:val="20"/>
        </w:rPr>
        <w:t>Id.</w:t>
      </w:r>
      <w:r>
        <w:rPr>
          <w:rFonts w:ascii="Verdana" w:hAnsi="Verdana"/>
          <w:sz w:val="20"/>
        </w:rPr>
        <w:t xml:space="preserve">; </w:t>
      </w:r>
      <w:r>
        <w:rPr>
          <w:rFonts w:ascii="Verdana" w:hAnsi="Verdana"/>
          <w:i/>
          <w:sz w:val="20"/>
        </w:rPr>
        <w:t>Lindsay</w:t>
      </w:r>
      <w:r>
        <w:rPr>
          <w:rFonts w:ascii="Verdana" w:hAnsi="Verdana"/>
          <w:sz w:val="20"/>
        </w:rPr>
        <w:t xml:space="preserve"> at 6; </w:t>
      </w:r>
      <w:r>
        <w:rPr>
          <w:rFonts w:ascii="Verdana" w:hAnsi="Verdana"/>
          <w:i/>
          <w:sz w:val="20"/>
        </w:rPr>
        <w:t>Crawford</w:t>
      </w:r>
      <w:r>
        <w:rPr>
          <w:rFonts w:ascii="Verdana" w:hAnsi="Verdana"/>
          <w:sz w:val="20"/>
        </w:rPr>
        <w:t xml:space="preserve"> at 424; </w:t>
      </w:r>
      <w:r>
        <w:rPr>
          <w:rFonts w:ascii="Verdana" w:hAnsi="Verdana"/>
          <w:i/>
          <w:sz w:val="20"/>
        </w:rPr>
        <w:t>Atkins</w:t>
      </w:r>
      <w:r>
        <w:rPr>
          <w:rFonts w:ascii="Verdana" w:hAnsi="Verdana"/>
          <w:sz w:val="20"/>
        </w:rPr>
        <w:t xml:space="preserve"> at 283; </w:t>
      </w:r>
      <w:r>
        <w:rPr>
          <w:rFonts w:ascii="Verdana" w:hAnsi="Verdana"/>
          <w:i/>
          <w:sz w:val="20"/>
        </w:rPr>
        <w:t>Hanzsek</w:t>
      </w:r>
      <w:r>
        <w:rPr>
          <w:rFonts w:ascii="Verdana" w:hAnsi="Verdana"/>
          <w:sz w:val="20"/>
        </w:rPr>
        <w:t xml:space="preserve"> at 645.  In contrast, </w:t>
      </w:r>
      <w:r>
        <w:rPr>
          <w:rFonts w:ascii="Verdana" w:hAnsi="Verdana"/>
          <w:i/>
          <w:sz w:val="20"/>
        </w:rPr>
        <w:t>the information sought by Plaintiffs here is not available from original sources</w:t>
      </w:r>
      <w:r>
        <w:rPr>
          <w:rFonts w:ascii="Verdana" w:hAnsi="Verdana"/>
          <w:sz w:val="20"/>
        </w:rPr>
        <w:t xml:space="preserve">.  They are impressions and evaluations from one healthcare provider reviewing another healthcare provider.  As Dr. Chang testified to, the information sought by Plaintiffs includes statements like, "Dr. A cancer detection rate is too low."  </w:t>
      </w:r>
      <w:r>
        <w:rPr>
          <w:rFonts w:ascii="Verdana" w:hAnsi="Verdana"/>
          <w:i/>
          <w:sz w:val="20"/>
        </w:rPr>
        <w:t>See</w:t>
      </w:r>
      <w:r>
        <w:rPr>
          <w:rFonts w:ascii="Verdana" w:hAnsi="Verdana"/>
          <w:sz w:val="20"/>
        </w:rPr>
        <w:t>, Exhibit D, p. 119, ll 14-17.  This is not a statement or information that would be found in a patient's medical records or from any other original source at Weinstein Imaging.  The only source of this information is the peer review committee.  Therefore, under the authorities cited by Plaintiffs, the information they seek is not available from original sources and is protected by the PRPA.</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jc w:val="center"/>
        <w:rPr>
          <w:rFonts w:ascii="Verdana" w:hAnsi="Verdana"/>
          <w:sz w:val="20"/>
        </w:rPr>
      </w:pPr>
      <w:r>
        <w:rPr>
          <w:rFonts w:ascii="Verdana" w:hAnsi="Verdana"/>
          <w:b/>
          <w:sz w:val="20"/>
          <w:u w:val="single"/>
        </w:rPr>
        <w:t>IV.  CONCLUSION</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The PRPA provides protection to documents generated during review processes where healthcare professionals are reviewing the work of another healthcare professional in order to improve quality of care.  The documents Plaintiffs seek were generated during an annual peer review performed by Weinstein Imaging and fall under the protection of the PRPA.</w:t>
      </w:r>
      <w:r>
        <w:rPr>
          <w:rFonts w:ascii="Verdana" w:hAnsi="Verdana"/>
          <w:sz w:val="20"/>
        </w:rPr>
        <w:tab/>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line="480" w:lineRule="auto"/>
        <w:rPr>
          <w:rFonts w:ascii="Verdana" w:hAnsi="Verdana"/>
          <w:sz w:val="20"/>
        </w:rPr>
      </w:pPr>
      <w:r>
        <w:rPr>
          <w:rFonts w:ascii="Verdana" w:hAnsi="Verdana"/>
          <w:sz w:val="20"/>
        </w:rPr>
        <w:tab/>
        <w:t>WHEREFORE, Defendants, Michelle R. Straka, M.D. and Weinstein Imaging Associates, P.C., respectfully request this Honorable Court deny Plaintiffs' Motion to Compel.</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tab/>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tab/>
        <w:t>MATIS BAUM O'CONNOR</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5544"/>
          <w:tab w:val="left" w:pos="6264"/>
          <w:tab w:val="right" w:pos="9356"/>
        </w:tabs>
        <w:rPr>
          <w:rFonts w:ascii="Verdana" w:hAnsi="Verdana"/>
          <w:sz w:val="20"/>
        </w:rPr>
      </w:pPr>
      <w:r>
        <w:rPr>
          <w:rFonts w:ascii="Verdana" w:hAnsi="Verdana"/>
          <w:sz w:val="20"/>
        </w:rPr>
        <w:tab/>
        <w:t>By:</w:t>
      </w:r>
      <w:r>
        <w:rPr>
          <w:rFonts w:ascii="Verdana" w:hAnsi="Verdana"/>
          <w:sz w:val="20"/>
          <w:u w:val="single"/>
        </w:rPr>
        <w:tab/>
      </w:r>
      <w:r>
        <w:rPr>
          <w:rFonts w:ascii="Verdana" w:hAnsi="Verdana"/>
          <w:sz w:val="20"/>
          <w:u w:val="single"/>
        </w:rPr>
        <w:tab/>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tab/>
      </w:r>
      <w:r>
        <w:rPr>
          <w:rFonts w:ascii="Verdana" w:hAnsi="Verdana"/>
          <w:sz w:val="20"/>
        </w:rPr>
        <w:tab/>
        <w:t>Marian Jean Patchen, Esquire</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tab/>
      </w:r>
      <w:r>
        <w:rPr>
          <w:rFonts w:ascii="Verdana" w:hAnsi="Verdana"/>
          <w:sz w:val="20"/>
        </w:rPr>
        <w:tab/>
        <w:t>PA I.D. 72880</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tab/>
      </w:r>
      <w:r>
        <w:rPr>
          <w:rFonts w:ascii="Verdana" w:hAnsi="Verdana"/>
          <w:sz w:val="20"/>
        </w:rPr>
        <w:tab/>
        <w:t>Corey C. Kirkwood, Esquire</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tab/>
      </w:r>
      <w:r>
        <w:rPr>
          <w:rFonts w:ascii="Verdana" w:hAnsi="Verdana"/>
          <w:sz w:val="20"/>
        </w:rPr>
        <w:tab/>
        <w:t>PA I.D. 321344</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r>
        <w:rPr>
          <w:rFonts w:ascii="Verdana" w:hAnsi="Verdana"/>
          <w:sz w:val="20"/>
        </w:rPr>
        <w:br w:type="page"/>
      </w:r>
    </w:p>
    <w:p w:rsidR="00352B44" w:rsidRDefault="00352B44">
      <w:pPr>
        <w:tabs>
          <w:tab w:val="left" w:pos="4320"/>
          <w:tab w:val="left" w:pos="4824"/>
          <w:tab w:val="left" w:pos="5040"/>
          <w:tab w:val="left" w:pos="5760"/>
          <w:tab w:val="left" w:pos="6480"/>
          <w:tab w:val="left" w:pos="7200"/>
          <w:tab w:val="left" w:pos="7920"/>
          <w:tab w:val="left" w:pos="8640"/>
        </w:tabs>
        <w:ind w:left="4824"/>
        <w:jc w:val="center"/>
        <w:sectPr w:rsidR="00352B44">
          <w:headerReference w:type="even" r:id="rId11"/>
          <w:headerReference w:type="default" r:id="rId12"/>
          <w:footerReference w:type="even" r:id="rId13"/>
          <w:footerReference w:type="default" r:id="rId14"/>
          <w:pgSz w:w="12240" w:h="15840"/>
          <w:pgMar w:top="1920" w:right="1440" w:bottom="2097" w:left="1440" w:header="1440" w:footer="1440" w:gutter="0"/>
          <w:pgNumType w:start="1"/>
          <w:cols w:space="720"/>
        </w:sectPr>
      </w:pPr>
    </w:p>
    <w:p w:rsidR="00352B44" w:rsidRDefault="00352B44">
      <w:pPr>
        <w:tabs>
          <w:tab w:val="left" w:pos="4320"/>
          <w:tab w:val="left" w:pos="4824"/>
          <w:tab w:val="left" w:pos="5040"/>
          <w:tab w:val="left" w:pos="5760"/>
          <w:tab w:val="left" w:pos="6480"/>
          <w:tab w:val="left" w:pos="7200"/>
          <w:tab w:val="left" w:pos="7920"/>
          <w:tab w:val="left" w:pos="8640"/>
        </w:tabs>
        <w:ind w:left="4824"/>
        <w:jc w:val="center"/>
        <w:rPr>
          <w:rFonts w:ascii="Verdana" w:hAnsi="Verdana"/>
          <w:sz w:val="20"/>
        </w:rPr>
      </w:pPr>
      <w:r>
        <w:rPr>
          <w:rFonts w:ascii="Verdana" w:hAnsi="Verdana"/>
          <w:b/>
          <w:sz w:val="20"/>
        </w:rPr>
        <w:t>CERTIFICATE OF SERVICE</w:t>
      </w:r>
    </w:p>
    <w:p w:rsidR="00352B44" w:rsidRDefault="00352B44">
      <w:pPr>
        <w:tabs>
          <w:tab w:val="left" w:pos="0"/>
          <w:tab w:val="left" w:pos="4320"/>
          <w:tab w:val="left" w:pos="4824"/>
          <w:tab w:val="left" w:pos="5040"/>
          <w:tab w:val="left" w:pos="5760"/>
          <w:tab w:val="left" w:pos="6480"/>
          <w:tab w:val="left" w:pos="7200"/>
          <w:tab w:val="left" w:pos="7920"/>
          <w:tab w:val="left" w:pos="8640"/>
        </w:tabs>
        <w:rPr>
          <w:rFonts w:ascii="Verdana" w:hAnsi="Verdana"/>
          <w:sz w:val="20"/>
        </w:rPr>
      </w:pPr>
    </w:p>
    <w:p w:rsidR="00352B44" w:rsidRDefault="00352B44">
      <w:pPr>
        <w:tabs>
          <w:tab w:val="left" w:pos="0"/>
          <w:tab w:val="left" w:pos="720"/>
          <w:tab w:val="left" w:pos="4320"/>
          <w:tab w:val="left" w:pos="4824"/>
          <w:tab w:val="left" w:pos="5040"/>
          <w:tab w:val="left" w:pos="5760"/>
          <w:tab w:val="left" w:pos="6480"/>
          <w:tab w:val="left" w:pos="7200"/>
          <w:tab w:val="left" w:pos="7920"/>
          <w:tab w:val="left" w:pos="8640"/>
        </w:tabs>
        <w:jc w:val="both"/>
        <w:rPr>
          <w:rFonts w:ascii="Verdana" w:hAnsi="Verdana"/>
          <w:sz w:val="20"/>
        </w:rPr>
      </w:pPr>
      <w:r>
        <w:rPr>
          <w:rFonts w:ascii="Verdana" w:hAnsi="Verdana"/>
          <w:sz w:val="20"/>
        </w:rPr>
        <w:tab/>
        <w:t xml:space="preserve">I, the undersigned, hereby certify that I am this day serving a true and correct copy of the foregoing </w:t>
      </w:r>
      <w:r>
        <w:rPr>
          <w:rFonts w:ascii="Verdana" w:hAnsi="Verdana"/>
          <w:b/>
          <w:sz w:val="20"/>
        </w:rPr>
        <w:t>BRIEF IN OPPOSITION TO PLAINTIFF'S MOTION TO COMPEL PURSUANT TO ORDER OF COURT DATED JANUARY 11, 2018</w:t>
      </w:r>
      <w:r>
        <w:rPr>
          <w:rFonts w:ascii="Verdana" w:hAnsi="Verdana"/>
          <w:sz w:val="20"/>
        </w:rPr>
        <w:t xml:space="preserve"> upon the persons listed below electronic mail, this 2nd day of March, 2018.</w:t>
      </w:r>
    </w:p>
    <w:p w:rsidR="00352B44" w:rsidRDefault="00352B44">
      <w:pPr>
        <w:tabs>
          <w:tab w:val="left" w:pos="0"/>
          <w:tab w:val="left" w:pos="720"/>
          <w:tab w:val="left" w:pos="4320"/>
          <w:tab w:val="left" w:pos="4824"/>
          <w:tab w:val="left" w:pos="5040"/>
          <w:tab w:val="left" w:pos="5760"/>
          <w:tab w:val="left" w:pos="6480"/>
          <w:tab w:val="left" w:pos="7200"/>
          <w:tab w:val="left" w:pos="7920"/>
          <w:tab w:val="left" w:pos="8640"/>
        </w:tabs>
        <w:jc w:val="both"/>
        <w:rPr>
          <w:rFonts w:ascii="Verdana" w:hAnsi="Verdana"/>
          <w:sz w:val="20"/>
        </w:rPr>
      </w:pPr>
    </w:p>
    <w:p w:rsidR="00352B44" w:rsidRDefault="00352B44">
      <w:pPr>
        <w:tabs>
          <w:tab w:val="left" w:pos="0"/>
          <w:tab w:val="left" w:pos="720"/>
          <w:tab w:val="left" w:pos="4320"/>
          <w:tab w:val="left" w:pos="4824"/>
          <w:tab w:val="left" w:pos="5040"/>
          <w:tab w:val="left" w:pos="5760"/>
          <w:tab w:val="left" w:pos="6480"/>
          <w:tab w:val="left" w:pos="7200"/>
          <w:tab w:val="left" w:pos="7920"/>
          <w:tab w:val="left" w:pos="8640"/>
        </w:tabs>
        <w:jc w:val="both"/>
        <w:rPr>
          <w:rFonts w:ascii="Verdana" w:hAnsi="Verdana"/>
          <w:sz w:val="20"/>
        </w:rPr>
      </w:pP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Elizabeth L. Jenkins, Esquire</w:t>
      </w: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820 Grant Building</w:t>
      </w: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310 Grant Street</w:t>
      </w: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Pittsburgh, PA  15219</w:t>
      </w:r>
    </w:p>
    <w:p w:rsidR="00352B44" w:rsidRDefault="00352B44">
      <w:pPr>
        <w:tabs>
          <w:tab w:val="left" w:pos="0"/>
          <w:tab w:val="left" w:pos="720"/>
          <w:tab w:val="left" w:pos="4320"/>
          <w:tab w:val="left" w:pos="4824"/>
        </w:tabs>
        <w:jc w:val="both"/>
        <w:rPr>
          <w:rFonts w:ascii="Verdana" w:hAnsi="Verdana"/>
          <w:sz w:val="20"/>
        </w:rPr>
      </w:pP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Richard J. Federowicz, Esquire</w:t>
      </w: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Dickie, McCamey &amp; Chilcote, P.C.</w:t>
      </w: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Two PPG Place - Suite 400</w:t>
      </w:r>
    </w:p>
    <w:p w:rsidR="00352B44" w:rsidRDefault="00352B44">
      <w:pPr>
        <w:tabs>
          <w:tab w:val="left" w:pos="0"/>
          <w:tab w:val="left" w:pos="720"/>
          <w:tab w:val="left" w:pos="4320"/>
          <w:tab w:val="left" w:pos="4824"/>
        </w:tabs>
        <w:jc w:val="both"/>
        <w:rPr>
          <w:rFonts w:ascii="Verdana" w:hAnsi="Verdana"/>
          <w:sz w:val="20"/>
        </w:rPr>
      </w:pPr>
      <w:r>
        <w:rPr>
          <w:rFonts w:ascii="Verdana" w:hAnsi="Verdana"/>
          <w:sz w:val="20"/>
        </w:rPr>
        <w:t>Pittsburgh, PA  15222</w:t>
      </w:r>
    </w:p>
    <w:p w:rsidR="00352B44" w:rsidRDefault="00352B44">
      <w:pPr>
        <w:tabs>
          <w:tab w:val="left" w:pos="0"/>
          <w:tab w:val="left" w:pos="720"/>
          <w:tab w:val="left" w:pos="4320"/>
          <w:tab w:val="left" w:pos="4824"/>
        </w:tabs>
        <w:jc w:val="both"/>
        <w:rPr>
          <w:rFonts w:ascii="Verdana" w:hAnsi="Verdana"/>
          <w:sz w:val="20"/>
        </w:rPr>
      </w:pPr>
    </w:p>
    <w:p w:rsidR="00352B44" w:rsidRDefault="00352B44">
      <w:pPr>
        <w:tabs>
          <w:tab w:val="left" w:pos="0"/>
          <w:tab w:val="left" w:pos="720"/>
          <w:tab w:val="left" w:pos="4320"/>
          <w:tab w:val="left" w:pos="4824"/>
        </w:tabs>
        <w:jc w:val="both"/>
        <w:rPr>
          <w:rFonts w:ascii="Verdana" w:hAnsi="Verdana"/>
          <w:sz w:val="20"/>
        </w:rPr>
      </w:pPr>
    </w:p>
    <w:p w:rsidR="00352B44" w:rsidRDefault="00352B44">
      <w:pPr>
        <w:tabs>
          <w:tab w:val="left" w:pos="0"/>
          <w:tab w:val="left" w:pos="720"/>
          <w:tab w:val="left" w:pos="4320"/>
          <w:tab w:val="left" w:pos="4824"/>
        </w:tabs>
        <w:jc w:val="both"/>
        <w:rPr>
          <w:rFonts w:ascii="Verdana" w:hAnsi="Verdana"/>
          <w:sz w:val="20"/>
        </w:rPr>
      </w:pPr>
    </w:p>
    <w:p w:rsidR="00352B44" w:rsidRDefault="00352B44">
      <w:pPr>
        <w:tabs>
          <w:tab w:val="left" w:pos="0"/>
          <w:tab w:val="left" w:pos="720"/>
          <w:tab w:val="left" w:pos="4320"/>
          <w:tab w:val="left" w:pos="4824"/>
        </w:tabs>
        <w:jc w:val="both"/>
        <w:rPr>
          <w:rFonts w:ascii="Verdana" w:hAnsi="Verdana"/>
          <w:sz w:val="20"/>
        </w:rPr>
      </w:pPr>
    </w:p>
    <w:p w:rsidR="00352B44" w:rsidRDefault="00352B44">
      <w:pPr>
        <w:tabs>
          <w:tab w:val="left" w:pos="0"/>
          <w:tab w:val="left" w:pos="3570"/>
          <w:tab w:val="left" w:pos="3600"/>
          <w:tab w:val="left" w:pos="4320"/>
          <w:tab w:val="left" w:pos="5040"/>
          <w:tab w:val="left" w:pos="5760"/>
          <w:tab w:val="left" w:pos="6480"/>
          <w:tab w:val="left" w:pos="7200"/>
          <w:tab w:val="left" w:pos="7920"/>
          <w:tab w:val="left" w:pos="8640"/>
        </w:tabs>
        <w:jc w:val="both"/>
        <w:rPr>
          <w:rFonts w:ascii="Verdana" w:hAnsi="Verdana"/>
          <w:sz w:val="20"/>
        </w:rPr>
      </w:pPr>
      <w:r>
        <w:rPr>
          <w:rFonts w:ascii="Verdana" w:hAnsi="Verdana"/>
          <w:sz w:val="20"/>
        </w:rPr>
        <w:tab/>
        <w:t>MATIS BAUM O'CONNOR</w:t>
      </w:r>
    </w:p>
    <w:p w:rsidR="00352B44" w:rsidRDefault="00352B44">
      <w:pPr>
        <w:tabs>
          <w:tab w:val="left" w:pos="0"/>
          <w:tab w:val="left" w:pos="3570"/>
          <w:tab w:val="left" w:pos="3600"/>
          <w:tab w:val="left" w:pos="4320"/>
          <w:tab w:val="left" w:pos="5040"/>
          <w:tab w:val="left" w:pos="5760"/>
          <w:tab w:val="left" w:pos="6480"/>
          <w:tab w:val="left" w:pos="7200"/>
          <w:tab w:val="left" w:pos="7920"/>
          <w:tab w:val="left" w:pos="8640"/>
        </w:tabs>
        <w:jc w:val="both"/>
        <w:rPr>
          <w:rFonts w:ascii="Verdana" w:hAnsi="Verdana"/>
          <w:sz w:val="20"/>
        </w:rPr>
      </w:pPr>
    </w:p>
    <w:p w:rsidR="00352B44" w:rsidRDefault="00352B44">
      <w:pPr>
        <w:tabs>
          <w:tab w:val="left" w:pos="0"/>
          <w:tab w:val="left" w:pos="3570"/>
          <w:tab w:val="left" w:pos="3600"/>
          <w:tab w:val="left" w:pos="4320"/>
          <w:tab w:val="left" w:pos="5040"/>
          <w:tab w:val="left" w:pos="5760"/>
          <w:tab w:val="left" w:pos="6480"/>
          <w:tab w:val="left" w:pos="7200"/>
          <w:tab w:val="left" w:pos="7920"/>
          <w:tab w:val="left" w:pos="8640"/>
        </w:tabs>
        <w:jc w:val="both"/>
        <w:rPr>
          <w:rFonts w:ascii="Verdana" w:hAnsi="Verdana"/>
          <w:sz w:val="20"/>
        </w:rPr>
      </w:pPr>
    </w:p>
    <w:p w:rsidR="00352B44" w:rsidRDefault="00352B44">
      <w:pPr>
        <w:tabs>
          <w:tab w:val="left" w:pos="0"/>
          <w:tab w:val="left" w:pos="3570"/>
          <w:tab w:val="left" w:pos="3600"/>
          <w:tab w:val="left" w:pos="4320"/>
          <w:tab w:val="left" w:pos="5040"/>
          <w:tab w:val="left" w:pos="5760"/>
          <w:tab w:val="left" w:pos="6480"/>
          <w:tab w:val="left" w:pos="7200"/>
          <w:tab w:val="left" w:pos="7920"/>
          <w:tab w:val="left" w:pos="8640"/>
        </w:tabs>
        <w:jc w:val="both"/>
        <w:rPr>
          <w:rFonts w:ascii="Verdana" w:hAnsi="Verdana"/>
          <w:sz w:val="20"/>
        </w:rPr>
      </w:pPr>
    </w:p>
    <w:p w:rsidR="00352B44" w:rsidRDefault="00352B44">
      <w:pPr>
        <w:tabs>
          <w:tab w:val="left" w:pos="0"/>
          <w:tab w:val="left" w:pos="720"/>
          <w:tab w:val="right" w:pos="9356"/>
        </w:tabs>
        <w:rPr>
          <w:rFonts w:ascii="Verdana" w:hAnsi="Verdana"/>
          <w:sz w:val="20"/>
        </w:rPr>
      </w:pPr>
      <w:r>
        <w:rPr>
          <w:rFonts w:ascii="Verdana" w:hAnsi="Verdana"/>
          <w:sz w:val="20"/>
        </w:rPr>
        <w:tab/>
      </w:r>
      <w:r>
        <w:rPr>
          <w:rFonts w:ascii="Verdana" w:hAnsi="Verdana"/>
          <w:sz w:val="20"/>
          <w:u w:val="single"/>
        </w:rPr>
        <w:tab/>
      </w:r>
    </w:p>
    <w:p w:rsidR="00352B44" w:rsidRDefault="00352B44">
      <w:pPr>
        <w:tabs>
          <w:tab w:val="left" w:pos="0"/>
          <w:tab w:val="left" w:pos="3570"/>
          <w:tab w:val="left" w:pos="3600"/>
          <w:tab w:val="left" w:pos="4320"/>
          <w:tab w:val="left" w:pos="5040"/>
          <w:tab w:val="left" w:pos="5760"/>
          <w:tab w:val="left" w:pos="6480"/>
          <w:tab w:val="left" w:pos="7200"/>
          <w:tab w:val="left" w:pos="7920"/>
          <w:tab w:val="left" w:pos="8640"/>
        </w:tabs>
        <w:rPr>
          <w:rFonts w:ascii="Verdana" w:hAnsi="Verdana"/>
          <w:sz w:val="20"/>
        </w:rPr>
      </w:pPr>
      <w:r>
        <w:rPr>
          <w:rFonts w:ascii="Verdana" w:hAnsi="Verdana"/>
          <w:sz w:val="20"/>
        </w:rPr>
        <w:tab/>
        <w:t>Marian Jean Patchen</w:t>
      </w:r>
    </w:p>
    <w:p w:rsidR="00352B44" w:rsidRDefault="00352B44">
      <w:pPr>
        <w:tabs>
          <w:tab w:val="left" w:pos="0"/>
          <w:tab w:val="left" w:pos="3570"/>
          <w:tab w:val="left" w:pos="3600"/>
          <w:tab w:val="left" w:pos="4320"/>
          <w:tab w:val="left" w:pos="5040"/>
          <w:tab w:val="left" w:pos="5760"/>
          <w:tab w:val="left" w:pos="6480"/>
          <w:tab w:val="left" w:pos="7200"/>
          <w:tab w:val="left" w:pos="7920"/>
          <w:tab w:val="left" w:pos="8640"/>
        </w:tabs>
      </w:pPr>
      <w:r>
        <w:rPr>
          <w:rFonts w:ascii="Verdana" w:hAnsi="Verdana"/>
          <w:sz w:val="20"/>
        </w:rPr>
        <w:tab/>
        <w:t>Corey C. Kirkwood</w:t>
      </w:r>
    </w:p>
    <w:sectPr w:rsidR="00352B44" w:rsidSect="00352B44">
      <w:headerReference w:type="even" r:id="rId15"/>
      <w:headerReference w:type="default" r:id="rId16"/>
      <w:footerReference w:type="even" r:id="rId17"/>
      <w:footerReference w:type="default" r:id="rId18"/>
      <w:type w:val="continuous"/>
      <w:pgSz w:w="12240" w:h="15840"/>
      <w:pgMar w:top="1920" w:right="1440" w:bottom="1879" w:left="1440" w:header="1440" w:footer="144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2B44" w:rsidRDefault="00352B44">
      <w:r>
        <w:separator/>
      </w:r>
    </w:p>
  </w:endnote>
  <w:endnote w:type="continuationSeparator" w:id="0">
    <w:p w:rsidR="00352B44" w:rsidRDefault="00352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spacing w:line="240" w:lineRule="atLeast"/>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rFonts w:ascii="Verdana" w:hAnsi="Verdana"/>
        <w:sz w:val="20"/>
      </w:rPr>
    </w:pPr>
    <w:r>
      <w:rPr>
        <w:rFonts w:ascii="Verdana" w:hAnsi="Verdana"/>
        <w:sz w:val="20"/>
      </w:rPr>
      <w:pgNum/>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s>
      <w:rPr>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spacing w:line="240" w:lineRule="atLeast"/>
      <w:rPr>
        <w:rFonts w:ascii="Verdana" w:hAnsi="Verdana"/>
        <w:sz w:val="20"/>
      </w:rPr>
    </w:pP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jc w:val="center"/>
      <w:rPr>
        <w:rFonts w:ascii="Verdana" w:hAnsi="Verdana"/>
        <w:sz w:val="20"/>
      </w:rPr>
    </w:pPr>
    <w:r>
      <w:rPr>
        <w:rFonts w:ascii="Verdana" w:hAnsi="Verdana"/>
        <w:sz w:val="20"/>
      </w:rPr>
      <w:pgNum/>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spacing w:line="240" w:lineRule="atLeas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2B44" w:rsidRDefault="00352B44">
      <w:r>
        <w:separator/>
      </w:r>
    </w:p>
  </w:footnote>
  <w:footnote w:type="continuationSeparator" w:id="0">
    <w:p w:rsidR="00352B44" w:rsidRDefault="00352B44">
      <w:r>
        <w:continuationSeparator/>
      </w:r>
    </w:p>
  </w:footnote>
  <w:footnote w:id="1">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rPr>
          <w:rFonts w:ascii="Verdana" w:hAnsi="Verdana"/>
          <w:sz w:val="18"/>
        </w:rPr>
      </w:pPr>
      <w:r>
        <w:rPr>
          <w:rFonts w:ascii="Verdana" w:hAnsi="Verdana"/>
          <w:sz w:val="18"/>
          <w:vertAlign w:val="superscript"/>
        </w:rPr>
        <w:footnoteRef/>
      </w:r>
      <w:r>
        <w:rPr>
          <w:rFonts w:ascii="Verdana" w:hAnsi="Verdana"/>
          <w:sz w:val="18"/>
        </w:rPr>
        <w:t>Professional healthcare providers include, but are not limited to, physicians, dentists, podiatrists, chiropractors, optometrists, psychologists, pharmacists, registered or practical nurses, physical therapists, and hospital administrators.  63 P.S. § 425.2.</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pPr>
    </w:p>
  </w:footnote>
  <w:footnote w:id="2">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before="240" w:after="240"/>
      </w:pPr>
      <w:r>
        <w:rPr>
          <w:rFonts w:ascii="Verdana" w:hAnsi="Verdana"/>
          <w:sz w:val="18"/>
          <w:vertAlign w:val="superscript"/>
        </w:rPr>
        <w:footnoteRef/>
      </w:r>
      <w:r>
        <w:rPr>
          <w:rFonts w:ascii="Verdana" w:hAnsi="Verdana"/>
          <w:sz w:val="18"/>
        </w:rPr>
        <w:t xml:space="preserve">The DEP was not provided with a report.  As Dr. Chang verified in his Affidavit, the DEP agents do not "review, interpret or assess the peer review results."  </w:t>
      </w:r>
      <w:r>
        <w:rPr>
          <w:rFonts w:ascii="Verdana" w:hAnsi="Verdana"/>
          <w:i/>
          <w:sz w:val="18"/>
        </w:rPr>
        <w:t>See</w:t>
      </w:r>
      <w:r>
        <w:rPr>
          <w:rFonts w:ascii="Verdana" w:hAnsi="Verdana"/>
          <w:sz w:val="18"/>
        </w:rPr>
        <w:t xml:space="preserve">, </w:t>
      </w:r>
      <w:r>
        <w:rPr>
          <w:rFonts w:ascii="Verdana" w:hAnsi="Verdana"/>
          <w:sz w:val="20"/>
        </w:rPr>
        <w:t>Exhibit A, ¶5</w:t>
      </w:r>
    </w:p>
  </w:footnote>
  <w:footnote w:id="3">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before="240" w:after="240"/>
      </w:pPr>
      <w:r>
        <w:rPr>
          <w:rFonts w:ascii="Verdana" w:hAnsi="Verdana"/>
          <w:sz w:val="18"/>
          <w:vertAlign w:val="superscript"/>
        </w:rPr>
        <w:footnoteRef/>
      </w:r>
      <w:r>
        <w:rPr>
          <w:rFonts w:ascii="Verdana" w:hAnsi="Verdana"/>
          <w:sz w:val="18"/>
        </w:rPr>
        <w:t xml:space="preserve">Plaintiffs assert that there is no federal peer review and cite to the following cases:  </w:t>
      </w:r>
      <w:r>
        <w:rPr>
          <w:rFonts w:ascii="Verdana" w:hAnsi="Verdana"/>
          <w:i/>
          <w:sz w:val="18"/>
        </w:rPr>
        <w:t>Singh v. Pocono Medical Center, et al.</w:t>
      </w:r>
      <w:r>
        <w:rPr>
          <w:rFonts w:ascii="Verdana" w:hAnsi="Verdana"/>
          <w:sz w:val="18"/>
        </w:rPr>
        <w:t xml:space="preserve">, 2010 WL 2521039 F. Supp. 2d (2010) and </w:t>
      </w:r>
      <w:r>
        <w:rPr>
          <w:rFonts w:ascii="Verdana" w:hAnsi="Verdana"/>
          <w:i/>
          <w:sz w:val="18"/>
        </w:rPr>
        <w:t>Ray v. Pinnacle Health, et al.</w:t>
      </w:r>
      <w:r>
        <w:rPr>
          <w:rFonts w:ascii="Verdana" w:hAnsi="Verdana"/>
          <w:sz w:val="18"/>
        </w:rPr>
        <w:t>, 2008 WL 2168899 (M.D.Pa.).  First, Defendants are in no way advancing that there is a federal peer review.  Defendants are asserting peer review protection as defined by Pennsylvania statute that applies to professional healthcare providers evaluating the quality of work of other healthcare providers at such institutions like Weinstein Imaging.  Second, the two cases cited by Plaintiffs involve civil rights actions by plaintiff-doctors and are in no way applicable to the issue currently before the Court.</w:t>
      </w:r>
    </w:p>
  </w:footnote>
  <w:footnote w:id="4">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before="240" w:after="240"/>
      </w:pPr>
      <w:r>
        <w:rPr>
          <w:rFonts w:ascii="Verdana" w:hAnsi="Verdana"/>
          <w:sz w:val="18"/>
          <w:vertAlign w:val="superscript"/>
        </w:rPr>
        <w:footnoteRef/>
      </w:r>
      <w:r>
        <w:rPr>
          <w:rFonts w:ascii="Verdana" w:hAnsi="Verdana"/>
          <w:sz w:val="18"/>
        </w:rPr>
        <w:t xml:space="preserve">Plaintiffs argue that "what Weinstein Imaging did was not different than UPMC Presbyterian Hospital did in the context of the case of </w:t>
      </w:r>
      <w:r>
        <w:rPr>
          <w:rFonts w:ascii="Verdana" w:hAnsi="Verdana"/>
          <w:i/>
          <w:sz w:val="18"/>
        </w:rPr>
        <w:t>Yocabet</w:t>
      </w:r>
      <w:r>
        <w:rPr>
          <w:rFonts w:ascii="Verdana" w:hAnsi="Verdana"/>
          <w:sz w:val="18"/>
        </w:rPr>
        <w:t xml:space="preserve">."  </w:t>
      </w:r>
      <w:r>
        <w:rPr>
          <w:rFonts w:ascii="Verdana" w:hAnsi="Verdana"/>
          <w:i/>
          <w:sz w:val="18"/>
        </w:rPr>
        <w:t>See</w:t>
      </w:r>
      <w:r>
        <w:rPr>
          <w:rFonts w:ascii="Verdana" w:hAnsi="Verdana"/>
          <w:sz w:val="18"/>
        </w:rPr>
        <w:t>, Plaintiffs' Brief in Support of Motion to Compel attached hereto as Exhibit C.</w:t>
      </w:r>
    </w:p>
  </w:footnote>
  <w:footnote w:id="5">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before="240" w:after="240"/>
      </w:pPr>
      <w:r>
        <w:rPr>
          <w:rFonts w:ascii="Verdana" w:hAnsi="Verdana"/>
          <w:sz w:val="18"/>
          <w:vertAlign w:val="superscript"/>
        </w:rPr>
        <w:footnoteRef/>
      </w:r>
      <w:r>
        <w:rPr>
          <w:rFonts w:ascii="Verdana" w:hAnsi="Verdana"/>
          <w:sz w:val="18"/>
        </w:rPr>
        <w:t xml:space="preserve">The investigation is described as an "unannounced Medicare complaint survey."  </w:t>
      </w:r>
      <w:r>
        <w:rPr>
          <w:rFonts w:ascii="Verdana" w:hAnsi="Verdana"/>
          <w:i/>
          <w:sz w:val="18"/>
        </w:rPr>
        <w:t>Id.</w:t>
      </w:r>
      <w:r>
        <w:rPr>
          <w:rFonts w:ascii="Verdana" w:hAnsi="Verdana"/>
          <w:sz w:val="18"/>
        </w:rPr>
        <w:t xml:space="preserve"> at 1020.  </w:t>
      </w:r>
    </w:p>
  </w:footnote>
  <w:footnote w:id="6">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before="240" w:after="240"/>
      </w:pPr>
      <w:r>
        <w:rPr>
          <w:rFonts w:ascii="Verdana" w:hAnsi="Verdana"/>
          <w:sz w:val="18"/>
          <w:vertAlign w:val="superscript"/>
        </w:rPr>
        <w:footnoteRef/>
      </w:r>
      <w:r>
        <w:rPr>
          <w:rFonts w:ascii="Verdana" w:hAnsi="Verdana"/>
          <w:sz w:val="18"/>
        </w:rPr>
        <w:t xml:space="preserve">The Court held this was the purpose of the review because the final report issued is publicly available  </w:t>
      </w:r>
      <w:r>
        <w:rPr>
          <w:rFonts w:ascii="Verdana" w:hAnsi="Verdana"/>
          <w:i/>
          <w:sz w:val="18"/>
        </w:rPr>
        <w:t>Id.</w:t>
      </w:r>
      <w:r>
        <w:rPr>
          <w:rFonts w:ascii="Verdana" w:hAnsi="Verdana"/>
          <w:sz w:val="18"/>
        </w:rPr>
        <w:t xml:space="preserve"> Of note, the report sought by Plaintiffs is not publicly availble.</w:t>
      </w:r>
    </w:p>
  </w:footnote>
  <w:footnote w:id="7">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spacing w:after="240"/>
        <w:rPr>
          <w:rFonts w:ascii="Verdana" w:hAnsi="Verdana"/>
          <w:sz w:val="18"/>
        </w:rPr>
      </w:pPr>
      <w:r>
        <w:rPr>
          <w:rFonts w:ascii="Verdana" w:hAnsi="Verdana"/>
          <w:sz w:val="18"/>
          <w:vertAlign w:val="superscript"/>
        </w:rPr>
        <w:footnoteRef/>
      </w:r>
      <w:r>
        <w:rPr>
          <w:rFonts w:ascii="Verdana" w:hAnsi="Verdana"/>
          <w:sz w:val="18"/>
        </w:rPr>
        <w:t xml:space="preserve">Plaintiffs did not cite to any authority to support this position at oral argument and have not cited to any authority in their Brief in Support of Motion to Compel.  </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spacing w:after="240"/>
      </w:pPr>
    </w:p>
  </w:footnote>
  <w:footnote w:id="8">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after="240"/>
        <w:rPr>
          <w:rFonts w:ascii="Verdana" w:hAnsi="Verdana"/>
          <w:sz w:val="18"/>
        </w:rPr>
      </w:pPr>
      <w:r>
        <w:rPr>
          <w:rFonts w:ascii="Verdana" w:hAnsi="Verdana"/>
          <w:sz w:val="18"/>
          <w:vertAlign w:val="superscript"/>
        </w:rPr>
        <w:footnoteRef/>
      </w:r>
      <w:r>
        <w:rPr>
          <w:rFonts w:ascii="Verdana" w:hAnsi="Verdana"/>
          <w:sz w:val="18"/>
        </w:rPr>
        <w:t>A "ctrl +f" search of the document located at the citation provided by Plaintiffs for the term "peer review" reveals zero results.</w:t>
      </w:r>
    </w:p>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after="240"/>
      </w:pPr>
    </w:p>
  </w:footnote>
  <w:footnote w:id="9">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pacing w:before="240" w:after="240"/>
      </w:pPr>
      <w:r>
        <w:rPr>
          <w:rFonts w:ascii="Verdana" w:hAnsi="Verdana"/>
          <w:sz w:val="18"/>
          <w:vertAlign w:val="superscript"/>
        </w:rPr>
        <w:footnoteRef/>
      </w:r>
      <w:r>
        <w:rPr>
          <w:rFonts w:ascii="Verdana" w:hAnsi="Verdana"/>
          <w:sz w:val="18"/>
        </w:rPr>
        <w:t>The court based their holding on the language in § 425.4 that reads "information, documents or records otherwise available from original sources are not to be construed as immune from discovery."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B44" w:rsidRDefault="00352B44">
    <w:pPr>
      <w:tabs>
        <w:tab w:val="left" w:pos="-576"/>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56"/>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suff w:val="nothing"/>
      <w:lvlText w:val="%1"/>
      <w:lvlJc w:val="left"/>
      <w:rPr>
        <w:rFonts w:cs="Times New Roman"/>
      </w:rPr>
    </w:lvl>
    <w:lvl w:ilvl="1">
      <w:start w:val="1"/>
      <w:numFmt w:val="decimal"/>
      <w:suff w:val="nothing"/>
      <w:lvlText w:val="%2"/>
      <w:lvlJc w:val="left"/>
      <w:rPr>
        <w:rFonts w:cs="Times New Roman"/>
      </w:rPr>
    </w:lvl>
    <w:lvl w:ilvl="2">
      <w:start w:val="1"/>
      <w:numFmt w:val="decimal"/>
      <w:suff w:val="nothing"/>
      <w:lvlText w:val="%3"/>
      <w:lvlJc w:val="left"/>
      <w:rPr>
        <w:rFonts w:cs="Times New Roman"/>
      </w:rPr>
    </w:lvl>
    <w:lvl w:ilvl="3">
      <w:start w:val="1"/>
      <w:numFmt w:val="decimal"/>
      <w:suff w:val="nothing"/>
      <w:lvlText w:val="%4"/>
      <w:lvlJc w:val="left"/>
      <w:rPr>
        <w:rFonts w:cs="Times New Roman"/>
      </w:rPr>
    </w:lvl>
    <w:lvl w:ilvl="4">
      <w:start w:val="1"/>
      <w:numFmt w:val="decimal"/>
      <w:suff w:val="nothing"/>
      <w:lvlText w:val="%5"/>
      <w:lvlJc w:val="left"/>
      <w:rPr>
        <w:rFonts w:cs="Times New Roman"/>
      </w:rPr>
    </w:lvl>
    <w:lvl w:ilvl="5">
      <w:start w:val="1"/>
      <w:numFmt w:val="decimal"/>
      <w:suff w:val="nothing"/>
      <w:lvlText w:val="%6"/>
      <w:lvlJc w:val="left"/>
      <w:rPr>
        <w:rFonts w:cs="Times New Roman"/>
      </w:rPr>
    </w:lvl>
    <w:lvl w:ilvl="6">
      <w:start w:val="1"/>
      <w:numFmt w:val="decimal"/>
      <w:suff w:val="nothing"/>
      <w:lvlText w:val="%7"/>
      <w:lvlJc w:val="left"/>
      <w:rPr>
        <w:rFonts w:cs="Times New Roman"/>
      </w:rPr>
    </w:lvl>
    <w:lvl w:ilvl="7">
      <w:start w:val="1"/>
      <w:numFmt w:val="decimal"/>
      <w:suff w:val="nothing"/>
      <w:lvlText w:val="%8"/>
      <w:lvlJc w:val="left"/>
      <w:rPr>
        <w:rFonts w:cs="Times New Roman"/>
      </w:rPr>
    </w:lvl>
    <w:lvl w:ilvl="8">
      <w:start w:val="1"/>
      <w:numFmt w:val="lowerRoman"/>
      <w:suff w:val="nothing"/>
      <w:lvlText w:val="%9)"/>
      <w:lvlJc w:val="left"/>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0"/>
  <w:bordersDoNotSurroundHeader/>
  <w:bordersDoNotSurroundFooter/>
  <w:doNotTrackMoves/>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52B44"/>
    <w:rsid w:val="00352B4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uiPriority w:val="1"/>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30">
    <w:name w:val="3"/>
    <w:basedOn w:val="DefaultParagraphFont"/>
    <w:rPr>
      <w:rFonts w:cs="Times New Roman"/>
    </w:rPr>
  </w:style>
  <w:style w:type="character" w:customStyle="1" w:styleId="27">
    <w:name w:val="2"/>
    <w:basedOn w:val="DefaultParagraphFont"/>
    <w:rPr>
      <w:rFonts w:cs="Times New Roman"/>
    </w:rPr>
  </w:style>
  <w:style w:type="character" w:styleId="FootnoteReference">
    <w:name w:val="footnote reference"/>
    <w:basedOn w:val="DefaultParagraphFont"/>
    <w:uiPriority w:val="99"/>
    <w:semiHidden/>
    <w:rPr>
      <w:rFonts w:cs="Times New Roman"/>
      <w:vertAlign w:val="superscript"/>
    </w:rPr>
  </w:style>
  <w:style w:type="paragraph" w:styleId="FootnoteText">
    <w:name w:val="footnote text"/>
    <w:basedOn w:val="Normal"/>
    <w:link w:val="FootnoteTextChar"/>
    <w:uiPriority w:val="99"/>
    <w:semiHidden/>
    <w:pPr>
      <w:widowControl w:val="0"/>
    </w:pPr>
  </w:style>
  <w:style w:type="character" w:customStyle="1" w:styleId="FootnoteTextChar">
    <w:name w:val="Footnote Text Char"/>
    <w:basedOn w:val="DefaultParagraphFont"/>
    <w:link w:val="FootnoteText"/>
    <w:uiPriority w:val="99"/>
    <w:semiHidden/>
    <w:rsid w:val="00352B4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87C93B67585E429EF240D167806BBD" ma:contentTypeVersion="4" ma:contentTypeDescription="Create a new document." ma:contentTypeScope="" ma:versionID="ab8ad76910d2448a09696993b0967c4d">
  <xsd:schema xmlns:xsd="http://www.w3.org/2001/XMLSchema" xmlns:xs="http://www.w3.org/2001/XMLSchema" xmlns:p="http://schemas.microsoft.com/office/2006/metadata/properties" xmlns:ns2="2ff6966e-64a5-4137-b3c9-24781d7b7f07" xmlns:ns3="32cd42bf-9eaa-4ade-a87c-0357df7f38d1" targetNamespace="http://schemas.microsoft.com/office/2006/metadata/properties" ma:root="true" ma:fieldsID="2939681970f8cd96811da432f34d6f4d" ns2:_="" ns3:_="">
    <xsd:import namespace="2ff6966e-64a5-4137-b3c9-24781d7b7f07"/>
    <xsd:import namespace="32cd42bf-9eaa-4ade-a87c-0357df7f38d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f6966e-64a5-4137-b3c9-24781d7b7f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cd42bf-9eaa-4ade-a87c-0357df7f38d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BD63B2-2851-4CF8-B253-A747F0567910}"/>
</file>

<file path=customXml/itemProps2.xml><?xml version="1.0" encoding="utf-8"?>
<ds:datastoreItem xmlns:ds="http://schemas.openxmlformats.org/officeDocument/2006/customXml" ds:itemID="{57F13C7B-812F-460B-B251-36976D0E6D74}"/>
</file>

<file path=customXml/itemProps3.xml><?xml version="1.0" encoding="utf-8"?>
<ds:datastoreItem xmlns:ds="http://schemas.openxmlformats.org/officeDocument/2006/customXml" ds:itemID="{F8AD1DB3-46FF-40C1-9BA7-0B4AE07E5A22}"/>
</file>

<file path=docProps/app.xml><?xml version="1.0" encoding="utf-8"?>
<Properties xmlns="http://schemas.openxmlformats.org/officeDocument/2006/extended-properties" xmlns:vt="http://schemas.openxmlformats.org/officeDocument/2006/docPropsVTypes">
  <Template>Normal_Wordconv</Template>
  <TotalTime>0</TotalTime>
  <Pages>0</Pages>
  <Words>0</Words>
  <Characters>0</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2015-01-28T15:30:00Z</dcterms:created>
  <dcterms:modified xsi:type="dcterms:W3CDTF">2015-01-28T15:30:00Z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0x0101002D87C93B67585E429EF240D167806BBD</vt:lpwstr>
  </property>
</Properties>
</file>