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B6581" w14:textId="0026C12A" w:rsidR="00244255" w:rsidRPr="00C96CC2" w:rsidRDefault="00244255" w:rsidP="00244255">
      <w:pPr>
        <w:rPr>
          <w:rFonts w:ascii="Times New Roman" w:eastAsia="Times New Roman" w:hAnsi="Times New Roman" w:cs="Times New Roman"/>
        </w:rPr>
      </w:pPr>
      <w:r w:rsidRPr="00C96CC2">
        <w:rPr>
          <w:rFonts w:ascii="Times New Roman" w:eastAsia="Times New Roman" w:hAnsi="Times New Roman" w:cs="Times New Roman"/>
          <w:sz w:val="24"/>
          <w:szCs w:val="24"/>
        </w:rPr>
        <w:t xml:space="preserve">Case quotations: </w:t>
      </w:r>
      <w:r w:rsidR="00D84AB5">
        <w:rPr>
          <w:rFonts w:ascii="Times New Roman" w:eastAsia="Times New Roman" w:hAnsi="Times New Roman" w:cs="Times New Roman"/>
          <w:sz w:val="24"/>
          <w:szCs w:val="24"/>
        </w:rPr>
        <w:t>12</w:t>
      </w:r>
    </w:p>
    <w:p w14:paraId="1E61F61C" w14:textId="076A17EF" w:rsidR="00244255" w:rsidRPr="00C96CC2" w:rsidRDefault="00244255" w:rsidP="00244255">
      <w:pPr>
        <w:rPr>
          <w:rFonts w:ascii="Times New Roman" w:eastAsia="Times New Roman" w:hAnsi="Times New Roman" w:cs="Times New Roman"/>
        </w:rPr>
      </w:pPr>
      <w:r w:rsidRPr="00C96CC2">
        <w:rPr>
          <w:rFonts w:ascii="Times New Roman" w:eastAsia="Times New Roman" w:hAnsi="Times New Roman" w:cs="Times New Roman"/>
          <w:sz w:val="24"/>
          <w:szCs w:val="24"/>
        </w:rPr>
        <w:t xml:space="preserve">Case quotations with differences: </w:t>
      </w:r>
      <w:r w:rsidR="00D84AB5">
        <w:rPr>
          <w:rFonts w:ascii="Times New Roman" w:eastAsia="Times New Roman" w:hAnsi="Times New Roman" w:cs="Times New Roman"/>
          <w:sz w:val="24"/>
          <w:szCs w:val="24"/>
        </w:rPr>
        <w:t>2</w:t>
      </w:r>
    </w:p>
    <w:p w14:paraId="2F2B4765" w14:textId="0FA67615" w:rsidR="00244255" w:rsidRPr="00C96CC2" w:rsidRDefault="00244255" w:rsidP="00244255">
      <w:pPr>
        <w:rPr>
          <w:rFonts w:ascii="Times New Roman" w:eastAsia="Times New Roman" w:hAnsi="Times New Roman" w:cs="Times New Roman"/>
          <w:sz w:val="24"/>
          <w:szCs w:val="24"/>
        </w:rPr>
      </w:pPr>
      <w:r w:rsidRPr="00C96CC2">
        <w:rPr>
          <w:rFonts w:ascii="Times New Roman" w:eastAsia="Times New Roman" w:hAnsi="Times New Roman" w:cs="Times New Roman"/>
          <w:sz w:val="24"/>
          <w:szCs w:val="24"/>
        </w:rPr>
        <w:t>All quotations:</w:t>
      </w:r>
      <w:r w:rsidR="00D84AB5">
        <w:rPr>
          <w:rFonts w:ascii="Times New Roman" w:eastAsia="Times New Roman" w:hAnsi="Times New Roman" w:cs="Times New Roman"/>
          <w:sz w:val="24"/>
          <w:szCs w:val="24"/>
        </w:rPr>
        <w:t xml:space="preserve"> 27</w:t>
      </w:r>
    </w:p>
    <w:p w14:paraId="1058E6BF" w14:textId="77777777" w:rsidR="00244255" w:rsidRPr="00C96CC2" w:rsidRDefault="00244255" w:rsidP="00244255">
      <w:pPr>
        <w:textAlignment w:val="baseline"/>
        <w:rPr>
          <w:rFonts w:ascii="Times New Roman" w:eastAsia="Times New Roman" w:hAnsi="Times New Roman" w:cs="Times New Roman"/>
          <w:b/>
          <w:bCs/>
          <w:sz w:val="24"/>
          <w:szCs w:val="24"/>
          <w:highlight w:val="cyan"/>
          <w:u w:val="single"/>
        </w:rPr>
      </w:pPr>
    </w:p>
    <w:p w14:paraId="3D98E7FB" w14:textId="77777777" w:rsidR="00244255" w:rsidRPr="00DA1B79" w:rsidRDefault="00244255" w:rsidP="00244255">
      <w:pPr>
        <w:rPr>
          <w:rFonts w:ascii="Times New Roman" w:hAnsi="Times New Roman" w:cs="Times New Roman"/>
          <w:sz w:val="24"/>
          <w:szCs w:val="24"/>
          <w:u w:val="single"/>
        </w:rPr>
      </w:pPr>
      <w:r w:rsidRPr="00DA1B79">
        <w:rPr>
          <w:rFonts w:ascii="Times New Roman" w:hAnsi="Times New Roman" w:cs="Times New Roman"/>
          <w:b/>
          <w:bCs/>
          <w:color w:val="333333"/>
          <w:sz w:val="24"/>
          <w:szCs w:val="24"/>
          <w:u w:val="single"/>
          <w:bdr w:val="none" w:sz="0" w:space="0" w:color="auto" w:frame="1"/>
        </w:rPr>
        <w:t>Parenthetical Cite B Rule</w:t>
      </w:r>
    </w:p>
    <w:p w14:paraId="68EBC694" w14:textId="6AD32810" w:rsidR="00D84AB5" w:rsidRPr="00DA332F" w:rsidRDefault="00D84AB5" w:rsidP="00D84AB5">
      <w:pPr>
        <w:rPr>
          <w:rFonts w:ascii="Times New Roman" w:hAnsi="Times New Roman" w:cs="Times New Roman"/>
          <w:color w:val="000000"/>
          <w:sz w:val="24"/>
          <w:szCs w:val="24"/>
        </w:rPr>
      </w:pPr>
      <w:r w:rsidRPr="00DA1B79">
        <w:rPr>
          <w:rFonts w:ascii="Times New Roman" w:hAnsi="Times New Roman" w:cs="Times New Roman"/>
          <w:color w:val="000000"/>
          <w:sz w:val="24"/>
          <w:szCs w:val="24"/>
        </w:rPr>
        <w:t xml:space="preserve">Case Cite A, Citing Case Cite B. (\\Quoted Language found in Case Cite A, B, C. MATCH to Case Cite A\\) Case Cite C </w:t>
      </w:r>
      <w:r w:rsidRPr="00DA1B79">
        <w:rPr>
          <w:rFonts w:ascii="Wingdings" w:hAnsi="Wingdings"/>
          <w:color w:val="000000"/>
        </w:rPr>
        <w:t>è</w:t>
      </w:r>
      <w:r w:rsidRPr="00DA1B79">
        <w:rPr>
          <w:rFonts w:ascii="Times New Roman" w:hAnsi="Times New Roman" w:cs="Times New Roman"/>
          <w:color w:val="000000"/>
          <w:sz w:val="24"/>
          <w:szCs w:val="24"/>
        </w:rPr>
        <w:t xml:space="preserve"> Case Cite A.  </w:t>
      </w:r>
    </w:p>
    <w:p w14:paraId="12E48F02" w14:textId="4D6BE7FB" w:rsidR="00244255" w:rsidRDefault="00244255" w:rsidP="00244255">
      <w:pPr>
        <w:autoSpaceDE w:val="0"/>
        <w:autoSpaceDN w:val="0"/>
        <w:adjustRightInd w:val="0"/>
        <w:rPr>
          <w:rFonts w:ascii="Times New Roman" w:hAnsi="Times New Roman" w:cs="Times New Roman"/>
          <w:sz w:val="24"/>
          <w:szCs w:val="24"/>
        </w:rPr>
      </w:pPr>
      <w:r w:rsidRPr="008A2115">
        <w:rPr>
          <w:rFonts w:ascii="Times New Roman" w:hAnsi="Times New Roman" w:cs="Times New Roman"/>
          <w:sz w:val="24"/>
          <w:szCs w:val="24"/>
        </w:rPr>
        <w:t xml:space="preserve">1, See, e.g., </w:t>
      </w:r>
      <w:r w:rsidR="00692C44">
        <w:rPr>
          <w:rFonts w:ascii="Times New Roman" w:hAnsi="Times New Roman" w:cs="Times New Roman"/>
          <w:sz w:val="24"/>
          <w:szCs w:val="24"/>
        </w:rPr>
        <w:t xml:space="preserve">12 NYCRR </w:t>
      </w:r>
      <w:r w:rsidRPr="008A2115">
        <w:rPr>
          <w:rFonts w:ascii="Times New Roman" w:hAnsi="Times New Roman" w:cs="Times New Roman"/>
          <w:sz w:val="24"/>
          <w:szCs w:val="24"/>
        </w:rPr>
        <w:t>, 1218 (11th Cir. 2000) (no trade dress protection for photograph because the photograph “‘strikes us not as a separate and distinct mark on the good, but, rather, as the good itself’”)).</w:t>
      </w:r>
    </w:p>
    <w:p w14:paraId="654F0B2D" w14:textId="77777777" w:rsidR="00244255" w:rsidRPr="008A2115" w:rsidRDefault="00244255" w:rsidP="00244255">
      <w:pPr>
        <w:autoSpaceDE w:val="0"/>
        <w:autoSpaceDN w:val="0"/>
        <w:adjustRightInd w:val="0"/>
        <w:rPr>
          <w:rFonts w:ascii="Times New Roman" w:hAnsi="Times New Roman" w:cs="Times New Roman"/>
          <w:sz w:val="24"/>
          <w:szCs w:val="24"/>
        </w:rPr>
      </w:pPr>
    </w:p>
    <w:p w14:paraId="5B811D76" w14:textId="77777777" w:rsidR="0064393E" w:rsidRPr="0064393E" w:rsidRDefault="0064393E" w:rsidP="0064393E">
      <w:pPr>
        <w:rPr>
          <w:rFonts w:ascii="Times New Roman" w:hAnsi="Times New Roman" w:cs="Times New Roman"/>
          <w:color w:val="000000"/>
          <w:sz w:val="24"/>
          <w:szCs w:val="24"/>
        </w:rPr>
      </w:pPr>
    </w:p>
    <w:p w14:paraId="7A2F41B6" w14:textId="3162BBA7" w:rsidR="00244255" w:rsidRDefault="0064393E" w:rsidP="0064393E">
      <w:pPr>
        <w:rPr>
          <w:rFonts w:ascii="Times New Roman" w:hAnsi="Times New Roman" w:cs="Times New Roman"/>
          <w:color w:val="000000"/>
          <w:sz w:val="24"/>
          <w:szCs w:val="24"/>
        </w:rPr>
      </w:pPr>
      <w:r w:rsidRPr="0064393E">
        <w:rPr>
          <w:rFonts w:ascii="Times New Roman" w:hAnsi="Times New Roman" w:cs="Times New Roman"/>
          <w:color w:val="000000"/>
          <w:sz w:val="24"/>
          <w:szCs w:val="24"/>
        </w:rPr>
        <w:t xml:space="preserve">New Jersey law. See e.g., </w:t>
      </w:r>
      <w:proofErr w:type="spellStart"/>
      <w:r w:rsidRPr="0064393E">
        <w:rPr>
          <w:rFonts w:ascii="Times New Roman" w:hAnsi="Times New Roman" w:cs="Times New Roman"/>
          <w:color w:val="000000"/>
          <w:sz w:val="24"/>
          <w:szCs w:val="24"/>
        </w:rPr>
        <w:t>Petrick</w:t>
      </w:r>
      <w:proofErr w:type="spellEnd"/>
      <w:r w:rsidRPr="0064393E">
        <w:rPr>
          <w:rFonts w:ascii="Times New Roman" w:hAnsi="Times New Roman" w:cs="Times New Roman"/>
          <w:color w:val="000000"/>
          <w:sz w:val="24"/>
          <w:szCs w:val="24"/>
        </w:rPr>
        <w:t xml:space="preserve"> v. State Farm Fire &amp; Cas. Co., No. A-1152-09T3, 2010 N.J. Super. </w:t>
      </w:r>
      <w:proofErr w:type="spellStart"/>
      <w:r w:rsidRPr="0064393E">
        <w:rPr>
          <w:rFonts w:ascii="Times New Roman" w:hAnsi="Times New Roman" w:cs="Times New Roman"/>
          <w:color w:val="000000"/>
          <w:sz w:val="24"/>
          <w:szCs w:val="24"/>
        </w:rPr>
        <w:t>Unpub</w:t>
      </w:r>
      <w:proofErr w:type="spellEnd"/>
      <w:r w:rsidRPr="0064393E">
        <w:rPr>
          <w:rFonts w:ascii="Times New Roman" w:hAnsi="Times New Roman" w:cs="Times New Roman"/>
          <w:color w:val="000000"/>
          <w:sz w:val="24"/>
          <w:szCs w:val="24"/>
        </w:rPr>
        <w:t>. LEXIS 1964, at *16-17 (App. Div. 2010)</w:t>
      </w:r>
    </w:p>
    <w:p w14:paraId="33C5B1D6" w14:textId="4244331D" w:rsidR="00EE5C58" w:rsidRDefault="00EE5C58" w:rsidP="0064393E">
      <w:pPr>
        <w:rPr>
          <w:rFonts w:ascii="Times New Roman" w:hAnsi="Times New Roman" w:cs="Times New Roman"/>
          <w:color w:val="000000"/>
          <w:sz w:val="24"/>
          <w:szCs w:val="24"/>
        </w:rPr>
      </w:pPr>
    </w:p>
    <w:p w14:paraId="09FFCAB1" w14:textId="350FA644" w:rsidR="002F37CE" w:rsidRDefault="002F37CE" w:rsidP="00011955">
      <w:pPr>
        <w:rPr>
          <w:rFonts w:ascii="Times New Roman" w:hAnsi="Times New Roman"/>
          <w:color w:val="5B9BD5"/>
        </w:rPr>
      </w:pPr>
    </w:p>
    <w:p w14:paraId="0EA7164F" w14:textId="77777777" w:rsidR="002F37CE" w:rsidRDefault="002F37CE" w:rsidP="002F37CE">
      <w:pPr>
        <w:numPr>
          <w:ilvl w:val="0"/>
          <w:numId w:val="4"/>
        </w:numPr>
        <w:spacing w:line="480" w:lineRule="auto"/>
        <w:jc w:val="both"/>
        <w:rPr>
          <w:rFonts w:ascii="Times New Roman" w:hAnsi="Times New Roman" w:cs="Times New Roman"/>
          <w:b/>
          <w:noProof/>
          <w:color w:val="5B9BD5"/>
        </w:rPr>
      </w:pPr>
      <w:bookmarkStart w:id="0" w:name="dabmck_56950"/>
      <w:r>
        <w:rPr>
          <w:rFonts w:ascii="Times New Roman" w:hAnsi="Times New Roman"/>
          <w:b/>
          <w:noProof/>
          <w:color w:val="5B9BD5"/>
        </w:rPr>
        <w:t>Law and Analysis.</w:t>
      </w:r>
    </w:p>
    <w:p w14:paraId="3B0D66C9" w14:textId="77777777" w:rsidR="00AD3FB1" w:rsidRDefault="002F37CE" w:rsidP="002F37CE">
      <w:pPr>
        <w:spacing w:line="480" w:lineRule="auto"/>
        <w:jc w:val="both"/>
        <w:rPr>
          <w:rFonts w:ascii="Times New Roman" w:hAnsi="Times New Roman"/>
          <w:noProof/>
          <w:color w:val="5B9BD5"/>
        </w:rPr>
      </w:pPr>
      <w:bookmarkStart w:id="1" w:name="dabmck_57950"/>
      <w:bookmarkEnd w:id="0"/>
      <w:r>
        <w:rPr>
          <w:rFonts w:ascii="Times New Roman" w:hAnsi="Times New Roman"/>
          <w:noProof/>
          <w:color w:val="5B9BD5"/>
        </w:rPr>
        <w:tab/>
        <w:t>Counts IX and X of the complaint seek injunctions against the “release, distribution, assignment, or encumbrance of any annuity or annuity payments” by Pacific Life and Allstate to Defendant. Similarly, in Count VIII, Plaintiffs seek an injunction against the “release, distribution, assignment, or encumbrance” of Brokerage Account funds from SunTrust to Defendant. Although Plaintiffs do not expressly assert whether they seek temporary or permanent injunctive relief, the specific language of the allegations in Counts IX and X suggests that the claims are for temporary injunctive relief. In Count VIII, Plaintiffs expressly request preliminary, or temporary, injunctive relief.</w:t>
      </w:r>
    </w:p>
    <w:p w14:paraId="15FD4D6D" w14:textId="3AEA28D9" w:rsidR="00AD3FB1" w:rsidRDefault="00AD3FB1" w:rsidP="00AD3FB1">
      <w:pPr>
        <w:spacing w:line="480" w:lineRule="auto"/>
        <w:jc w:val="both"/>
        <w:rPr>
          <w:rFonts w:ascii="Times New Roman" w:hAnsi="Times New Roman" w:cs="Times New Roman"/>
          <w:noProof/>
          <w:color w:val="5B9BD5"/>
        </w:rPr>
      </w:pPr>
      <w:r>
        <w:rPr>
          <w:rFonts w:ascii="Times New Roman" w:hAnsi="Times New Roman"/>
          <w:noProof/>
          <w:color w:val="5B9BD5"/>
        </w:rPr>
        <w:t>As relief for their claim for breach of fiduciary duty, in which Plaintiffs rely on Defendant’s transfer of the Annuities through alleged undue influence, as well as her purportedly improper transfer of the Brokerage Account funds from from the 2006 Trust, Plaintiffs request that the Court “[a]ward the Plaintiff [sic] damages suffered.” Further, Importantly, “irreparable injury is injury that cannot be cured by money damages.”  Thus, because, as Plaintiffs admit in Count I, an award of damages could cure the harm purportedly caused by Defendant, the alleged harm is not irreparable for purposes of supporting the issuance of a temprorary injunction. Further, “[e]ven where the party seeking injunctive relief alleges that the opposing party may dissipate bank assets, a judgment for money damages is adequate and injunctive relief is improper, notwithstanding the possibility that a money judgment will be uncollectible.” </w:t>
      </w:r>
    </w:p>
    <w:p w14:paraId="31901C86" w14:textId="2CFD686E" w:rsidR="00AD3FB1" w:rsidRDefault="00AD3FB1" w:rsidP="00AD3FB1">
      <w:pPr>
        <w:spacing w:line="480" w:lineRule="auto"/>
        <w:jc w:val="both"/>
        <w:rPr>
          <w:rFonts w:ascii="Times New Roman" w:hAnsi="Times New Roman"/>
          <w:i/>
          <w:noProof/>
          <w:color w:val="5B9BD5"/>
        </w:rPr>
      </w:pPr>
      <w:bookmarkStart w:id="2" w:name="dabmck_63950"/>
      <w:r>
        <w:rPr>
          <w:rFonts w:ascii="Times New Roman" w:hAnsi="Times New Roman"/>
          <w:noProof/>
          <w:color w:val="5B9BD5"/>
        </w:rPr>
        <w:lastRenderedPageBreak/>
        <w:tab/>
        <w:t xml:space="preserve">Because Plaintiffs’ breach of fiduciary duty claim includes the allegations that Defendant exerted undue influence over the Decedent to transfer the Annuities out of the 2006 Trust and improperly transferred the Brokerage Account funds out of the 2006 Trust, any funds distributed from the Annuities or the Brokerage Account following the allegedly unlawful transfers would necessarily be included as damages for the breach if Plaintiffs prevailed on Count I. Additionally, insofar as the breach of fiduciary duty claim is directed towards Defendant as Successor Trustee of the 2006 Trust, Plaintiffs also had the option of pursuing a surcharge action against Defendant individually for her alleged breach (“A surcharge action seeks to impose personal liability on a fiduciary for breach of trust through either intentional or negligent conduct.”). Therefore, Plaintiffs clearly have other remedies available to them and are thereby barred from receiving a temporary injunction. </w:t>
      </w:r>
      <w:bookmarkEnd w:id="2"/>
    </w:p>
    <w:p w14:paraId="3B0F9C2E" w14:textId="591FFBD8" w:rsidR="002F37CE" w:rsidRDefault="002F37CE" w:rsidP="002F37CE">
      <w:pPr>
        <w:spacing w:line="480" w:lineRule="auto"/>
        <w:jc w:val="both"/>
        <w:rPr>
          <w:rFonts w:ascii="Times New Roman" w:hAnsi="Times New Roman"/>
          <w:noProof/>
          <w:color w:val="5B9BD5"/>
        </w:rPr>
      </w:pPr>
      <w:r>
        <w:rPr>
          <w:rFonts w:ascii="Times New Roman" w:hAnsi="Times New Roman"/>
          <w:noProof/>
          <w:color w:val="5B9BD5"/>
        </w:rPr>
        <w:t xml:space="preserve"> </w:t>
      </w:r>
      <w:bookmarkEnd w:id="1"/>
    </w:p>
    <w:p w14:paraId="346A60DC" w14:textId="77777777" w:rsidR="002F37CE" w:rsidRPr="008A2115" w:rsidRDefault="002F37CE" w:rsidP="00011955">
      <w:pPr>
        <w:rPr>
          <w:rFonts w:ascii="Times New Roman" w:hAnsi="Times New Roman" w:cs="Times New Roman"/>
          <w:b/>
          <w:bCs/>
          <w:color w:val="3D3D3D"/>
          <w:sz w:val="24"/>
          <w:szCs w:val="24"/>
          <w:bdr w:val="none" w:sz="0" w:space="0" w:color="auto" w:frame="1"/>
        </w:rPr>
      </w:pPr>
    </w:p>
    <w:sectPr w:rsidR="002F37CE" w:rsidRPr="008A2115">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8C0ED7"/>
    <w:multiLevelType w:val="hybridMultilevel"/>
    <w:tmpl w:val="E9CCD13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60E62A92"/>
    <w:multiLevelType w:val="hybridMultilevel"/>
    <w:tmpl w:val="E9CCD13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6A09182F"/>
    <w:multiLevelType w:val="hybridMultilevel"/>
    <w:tmpl w:val="170A4456"/>
    <w:lvl w:ilvl="0" w:tplc="4498DF2C">
      <w:start w:val="1"/>
      <w:numFmt w:val="decimal"/>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55"/>
    <w:rsid w:val="00011955"/>
    <w:rsid w:val="00244255"/>
    <w:rsid w:val="002F37CE"/>
    <w:rsid w:val="003116DE"/>
    <w:rsid w:val="003679AB"/>
    <w:rsid w:val="0055655A"/>
    <w:rsid w:val="005A69A2"/>
    <w:rsid w:val="0064393E"/>
    <w:rsid w:val="00663466"/>
    <w:rsid w:val="00692C44"/>
    <w:rsid w:val="0069378D"/>
    <w:rsid w:val="00817F8E"/>
    <w:rsid w:val="008279B4"/>
    <w:rsid w:val="008925BE"/>
    <w:rsid w:val="008B4445"/>
    <w:rsid w:val="008E3BFB"/>
    <w:rsid w:val="009B4AA8"/>
    <w:rsid w:val="009D344D"/>
    <w:rsid w:val="00A154D2"/>
    <w:rsid w:val="00A570B1"/>
    <w:rsid w:val="00AD3FB1"/>
    <w:rsid w:val="00D554F6"/>
    <w:rsid w:val="00D84AB5"/>
    <w:rsid w:val="00DA1B79"/>
    <w:rsid w:val="00EE5C58"/>
    <w:rsid w:val="00F8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20EF"/>
  <w15:chartTrackingRefBased/>
  <w15:docId w15:val="{960C4AC1-00C7-46DF-B27F-ACA72BA7E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55"/>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leadingParagraph">
    <w:name w:val="Pleading Paragraph"/>
    <w:basedOn w:val="Normal"/>
    <w:rsid w:val="00EE5C58"/>
    <w:pPr>
      <w:spacing w:line="480" w:lineRule="auto"/>
      <w:ind w:firstLine="720"/>
      <w:jc w:val="both"/>
    </w:pPr>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02072">
      <w:bodyDiv w:val="1"/>
      <w:marLeft w:val="0"/>
      <w:marRight w:val="0"/>
      <w:marTop w:val="0"/>
      <w:marBottom w:val="0"/>
      <w:divBdr>
        <w:top w:val="none" w:sz="0" w:space="0" w:color="auto"/>
        <w:left w:val="none" w:sz="0" w:space="0" w:color="auto"/>
        <w:bottom w:val="none" w:sz="0" w:space="0" w:color="auto"/>
        <w:right w:val="none" w:sz="0" w:space="0" w:color="auto"/>
      </w:divBdr>
    </w:div>
    <w:div w:id="959186385">
      <w:bodyDiv w:val="1"/>
      <w:marLeft w:val="0"/>
      <w:marRight w:val="0"/>
      <w:marTop w:val="0"/>
      <w:marBottom w:val="0"/>
      <w:divBdr>
        <w:top w:val="none" w:sz="0" w:space="0" w:color="auto"/>
        <w:left w:val="none" w:sz="0" w:space="0" w:color="auto"/>
        <w:bottom w:val="none" w:sz="0" w:space="0" w:color="auto"/>
        <w:right w:val="none" w:sz="0" w:space="0" w:color="auto"/>
      </w:divBdr>
    </w:div>
    <w:div w:id="1403213256">
      <w:bodyDiv w:val="1"/>
      <w:marLeft w:val="0"/>
      <w:marRight w:val="0"/>
      <w:marTop w:val="0"/>
      <w:marBottom w:val="0"/>
      <w:divBdr>
        <w:top w:val="none" w:sz="0" w:space="0" w:color="auto"/>
        <w:left w:val="none" w:sz="0" w:space="0" w:color="auto"/>
        <w:bottom w:val="none" w:sz="0" w:space="0" w:color="auto"/>
        <w:right w:val="none" w:sz="0" w:space="0" w:color="auto"/>
      </w:divBdr>
    </w:div>
    <w:div w:id="14745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Katsiaryna Kliuchavenka</dc:creator>
  <cp:keywords/>
  <dc:description/>
  <cp:lastModifiedBy>Shyker, Pavel</cp:lastModifiedBy>
  <cp:revision>25</cp:revision>
  <cp:lastPrinted>2020-04-03T12:39:00Z</cp:lastPrinted>
  <dcterms:created xsi:type="dcterms:W3CDTF">2020-04-02T11:50:00Z</dcterms:created>
  <dcterms:modified xsi:type="dcterms:W3CDTF">2022-01-14T21:00:00Z</dcterms:modified>
</cp:coreProperties>
</file>