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BF3942" w14:textId="77777777" w:rsidR="00625858" w:rsidRDefault="00AE398F">
      <w:pPr>
        <w:spacing w:after="0" w:line="275" w:lineRule="atLeast"/>
        <w:jc w:val="center"/>
      </w:pPr>
      <w:r>
        <w:rPr>
          <w:rFonts w:ascii="Georgia" w:hAnsi="Georgia"/>
          <w:color w:val="000000"/>
          <w:sz w:val="20"/>
        </w:rPr>
        <w:t>United States Court of Appeals, Eleventh Circuit.</w:t>
      </w:r>
    </w:p>
    <w:p w14:paraId="0A048DA5" w14:textId="77777777" w:rsidR="00625858" w:rsidRDefault="00AE398F">
      <w:pPr>
        <w:spacing w:before="200" w:after="0" w:line="300" w:lineRule="atLeast"/>
        <w:ind w:left="100" w:right="100"/>
        <w:jc w:val="center"/>
      </w:pPr>
      <w:r>
        <w:rPr>
          <w:rFonts w:ascii="Georgia" w:hAnsi="Georgia"/>
          <w:color w:val="252525"/>
          <w:sz w:val="20"/>
        </w:rPr>
        <w:t>ALABAMA SPACE SCIENCE EXHIBIT COMMISSION, Plaintiff/Appellant,</w:t>
      </w:r>
    </w:p>
    <w:p w14:paraId="6BBA9F5F" w14:textId="77777777" w:rsidR="00625858" w:rsidRDefault="00AE398F">
      <w:pPr>
        <w:spacing w:after="0" w:line="300" w:lineRule="atLeast"/>
        <w:ind w:left="100" w:right="100"/>
        <w:jc w:val="center"/>
      </w:pPr>
      <w:r>
        <w:rPr>
          <w:rFonts w:ascii="Georgia" w:hAnsi="Georgia"/>
          <w:color w:val="252525"/>
          <w:sz w:val="20"/>
        </w:rPr>
        <w:t>v.</w:t>
      </w:r>
    </w:p>
    <w:p w14:paraId="7180F4B2" w14:textId="77777777" w:rsidR="00625858" w:rsidRDefault="00AE398F">
      <w:pPr>
        <w:spacing w:after="0" w:line="300" w:lineRule="atLeast"/>
        <w:ind w:left="100" w:right="100"/>
        <w:jc w:val="center"/>
      </w:pPr>
      <w:r>
        <w:rPr>
          <w:rFonts w:ascii="Georgia" w:hAnsi="Georgia"/>
          <w:color w:val="252525"/>
          <w:sz w:val="20"/>
        </w:rPr>
        <w:t>MARKEL AMERICAN INSURANCE COMPANY, Defendant/Appellee.</w:t>
      </w:r>
    </w:p>
    <w:p w14:paraId="7B385429" w14:textId="77777777" w:rsidR="00625858" w:rsidRDefault="00AE398F">
      <w:pPr>
        <w:spacing w:before="200" w:after="0" w:line="275" w:lineRule="atLeast"/>
        <w:jc w:val="center"/>
      </w:pPr>
      <w:r>
        <w:rPr>
          <w:rFonts w:ascii="Georgia" w:hAnsi="Georgia"/>
          <w:color w:val="000000"/>
          <w:sz w:val="20"/>
        </w:rPr>
        <w:t>No. 21-13313-H.</w:t>
      </w:r>
    </w:p>
    <w:p w14:paraId="3B01A0B5" w14:textId="77777777" w:rsidR="00625858" w:rsidRDefault="00AE398F">
      <w:pPr>
        <w:spacing w:after="0" w:line="275" w:lineRule="atLeast"/>
        <w:jc w:val="center"/>
      </w:pPr>
      <w:r>
        <w:rPr>
          <w:rFonts w:ascii="Georgia" w:hAnsi="Georgia"/>
          <w:color w:val="000000"/>
          <w:sz w:val="20"/>
        </w:rPr>
        <w:t>January 19, 2022.</w:t>
      </w:r>
    </w:p>
    <w:p w14:paraId="487F0450" w14:textId="77777777" w:rsidR="00625858" w:rsidRDefault="00AE398F">
      <w:pPr>
        <w:spacing w:before="200" w:after="0" w:line="275" w:lineRule="atLeast"/>
        <w:jc w:val="center"/>
      </w:pPr>
      <w:r>
        <w:rPr>
          <w:rFonts w:ascii="Georgia" w:hAnsi="Georgia"/>
          <w:color w:val="000000"/>
          <w:sz w:val="20"/>
        </w:rPr>
        <w:t xml:space="preserve">On </w:t>
      </w:r>
      <w:r>
        <w:rPr>
          <w:rFonts w:ascii="Georgia" w:hAnsi="Georgia"/>
          <w:color w:val="000000"/>
          <w:sz w:val="20"/>
        </w:rPr>
        <w:t>Appeal from the United States District Court for the Northern District of Alabama, Case No. 5:19-cv-00594-LCB</w:t>
      </w:r>
    </w:p>
    <w:p w14:paraId="56BC41F6" w14:textId="77777777" w:rsidR="00625858" w:rsidRDefault="00AE398F">
      <w:pPr>
        <w:spacing w:before="200" w:after="0" w:line="275" w:lineRule="atLeast"/>
        <w:jc w:val="center"/>
      </w:pPr>
      <w:r>
        <w:rPr>
          <w:rFonts w:ascii="Times New Roman" w:hAnsi="Times New Roman"/>
          <w:b/>
          <w:color w:val="000000"/>
          <w:sz w:val="20"/>
        </w:rPr>
        <w:t>*1</w:t>
      </w:r>
      <w:r>
        <w:rPr>
          <w:rFonts w:ascii="Times New Roman" w:hAnsi="Times New Roman"/>
          <w:color w:val="000000"/>
          <w:sz w:val="20"/>
        </w:rPr>
        <w:t xml:space="preserve"> </w:t>
      </w:r>
      <w:r>
        <w:rPr>
          <w:rFonts w:ascii="Times New Roman" w:hAnsi="Times New Roman"/>
          <w:b/>
          <w:color w:val="000000"/>
          <w:sz w:val="20"/>
        </w:rPr>
        <w:t>JURISDICTIONAL STATEMENT</w:t>
      </w:r>
    </w:p>
    <w:p w14:paraId="0F3B64B2" w14:textId="77777777" w:rsidR="00625858" w:rsidRDefault="00AE398F">
      <w:pPr>
        <w:spacing w:after="0" w:line="275" w:lineRule="atLeast"/>
        <w:jc w:val="both"/>
      </w:pPr>
      <w:r>
        <w:rPr>
          <w:rFonts w:ascii="Times New Roman" w:hAnsi="Times New Roman"/>
          <w:color w:val="000000"/>
          <w:sz w:val="20"/>
        </w:rPr>
        <w:t> </w:t>
      </w:r>
    </w:p>
    <w:p w14:paraId="7492AA79" w14:textId="0C390B39" w:rsidR="00625858" w:rsidRDefault="00AE398F">
      <w:pPr>
        <w:spacing w:after="0" w:line="275" w:lineRule="atLeast"/>
        <w:jc w:val="both"/>
      </w:pPr>
      <w:r>
        <w:rPr>
          <w:rFonts w:ascii="Times New Roman" w:hAnsi="Times New Roman"/>
          <w:color w:val="000000"/>
          <w:sz w:val="20"/>
        </w:rPr>
        <w:t>The United States District C</w:t>
      </w:r>
      <w:r>
        <w:rPr>
          <w:rFonts w:ascii="Times New Roman" w:hAnsi="Times New Roman"/>
          <w:color w:val="000000"/>
          <w:sz w:val="20"/>
        </w:rPr>
        <w:t>ourt for the Northern District of Alabama had subject matter jurisdiction of this action</w:t>
      </w:r>
      <w:r>
        <w:rPr>
          <w:rFonts w:ascii="Times New Roman" w:hAnsi="Times New Roman"/>
          <w:color w:val="000000"/>
          <w:sz w:val="20"/>
        </w:rPr>
        <w:t xml:space="preserve">. The District Court's final judgment granting summary judgment to Appellee and denying Appellant's motion for summary judgment was entered on the docket on August 30, 2021. Doc. 55. Appellant timely noticed its appeal on September </w:t>
      </w:r>
      <w:r>
        <w:rPr>
          <w:rFonts w:ascii="Times New Roman" w:hAnsi="Times New Roman"/>
          <w:color w:val="000000"/>
          <w:sz w:val="20"/>
        </w:rPr>
        <w:t>27, 2021. Doc. 56. This Court has jurisdiction</w:t>
      </w:r>
      <w:r w:rsidR="00ED51A6">
        <w:rPr>
          <w:rFonts w:ascii="Times New Roman" w:hAnsi="Times New Roman"/>
          <w:color w:val="000000"/>
          <w:sz w:val="20"/>
        </w:rPr>
        <w:t>.</w:t>
      </w:r>
    </w:p>
    <w:p w14:paraId="39A2CB6F" w14:textId="77777777" w:rsidR="00625858" w:rsidRDefault="00AE398F">
      <w:pPr>
        <w:spacing w:after="0" w:line="275" w:lineRule="atLeast"/>
        <w:jc w:val="both"/>
      </w:pPr>
      <w:r>
        <w:rPr>
          <w:rFonts w:ascii="Times New Roman" w:hAnsi="Times New Roman"/>
          <w:color w:val="000000"/>
          <w:sz w:val="20"/>
        </w:rPr>
        <w:t> </w:t>
      </w:r>
    </w:p>
    <w:p w14:paraId="35633552" w14:textId="77777777" w:rsidR="00625858" w:rsidRDefault="00AE398F">
      <w:pPr>
        <w:spacing w:after="0" w:line="275" w:lineRule="atLeast"/>
        <w:jc w:val="center"/>
      </w:pPr>
      <w:r>
        <w:rPr>
          <w:rFonts w:ascii="Times New Roman" w:hAnsi="Times New Roman"/>
          <w:b/>
          <w:color w:val="000000"/>
          <w:sz w:val="20"/>
        </w:rPr>
        <w:t>*2</w:t>
      </w:r>
      <w:r>
        <w:rPr>
          <w:rFonts w:ascii="Times New Roman" w:hAnsi="Times New Roman"/>
          <w:color w:val="000000"/>
          <w:sz w:val="20"/>
        </w:rPr>
        <w:t xml:space="preserve"> </w:t>
      </w:r>
      <w:r>
        <w:rPr>
          <w:rFonts w:ascii="Times New Roman" w:hAnsi="Times New Roman"/>
          <w:b/>
          <w:color w:val="000000"/>
          <w:sz w:val="20"/>
        </w:rPr>
        <w:t>STATEMENT OF THE ISSUES</w:t>
      </w:r>
    </w:p>
    <w:p w14:paraId="3A015605" w14:textId="77777777" w:rsidR="00625858" w:rsidRDefault="00AE398F">
      <w:pPr>
        <w:spacing w:after="0" w:line="275" w:lineRule="atLeast"/>
        <w:jc w:val="both"/>
      </w:pPr>
      <w:r>
        <w:rPr>
          <w:rFonts w:ascii="Times New Roman" w:hAnsi="Times New Roman"/>
          <w:color w:val="000000"/>
          <w:sz w:val="20"/>
        </w:rPr>
        <w:t> </w:t>
      </w:r>
    </w:p>
    <w:p w14:paraId="604DBF61" w14:textId="77777777" w:rsidR="00625858" w:rsidRDefault="00AE398F">
      <w:pPr>
        <w:spacing w:after="0" w:line="275" w:lineRule="atLeast"/>
        <w:jc w:val="both"/>
      </w:pPr>
      <w:r>
        <w:rPr>
          <w:rFonts w:ascii="Times New Roman" w:hAnsi="Times New Roman"/>
          <w:color w:val="000000"/>
          <w:sz w:val="20"/>
        </w:rPr>
        <w:t>Whether Appellee erroneously denied a defense under an exclusion of liability “for” breach of contract when the claims against Appellant in arbi</w:t>
      </w:r>
      <w:r>
        <w:rPr>
          <w:rFonts w:ascii="Times New Roman" w:hAnsi="Times New Roman"/>
          <w:color w:val="000000"/>
          <w:sz w:val="20"/>
        </w:rPr>
        <w:t>tration included allegations of potential liability for wrongful acts independent of the express terms of the contract?</w:t>
      </w:r>
    </w:p>
    <w:p w14:paraId="21B3C39B" w14:textId="77777777" w:rsidR="00625858" w:rsidRDefault="00AE398F">
      <w:pPr>
        <w:spacing w:after="0" w:line="275" w:lineRule="atLeast"/>
        <w:jc w:val="both"/>
      </w:pPr>
      <w:r>
        <w:rPr>
          <w:rFonts w:ascii="Times New Roman" w:hAnsi="Times New Roman"/>
          <w:color w:val="000000"/>
          <w:sz w:val="20"/>
        </w:rPr>
        <w:t> </w:t>
      </w:r>
    </w:p>
    <w:p w14:paraId="0863E335" w14:textId="77777777" w:rsidR="00625858" w:rsidRDefault="00AE398F">
      <w:pPr>
        <w:spacing w:after="0" w:line="275" w:lineRule="atLeast"/>
        <w:jc w:val="both"/>
      </w:pPr>
      <w:r>
        <w:rPr>
          <w:rFonts w:ascii="Times New Roman" w:hAnsi="Times New Roman"/>
          <w:color w:val="000000"/>
          <w:sz w:val="20"/>
        </w:rPr>
        <w:t>Whether the District Court erroneously failed to apply the well-established rules for determining whether an insurer has a duty to def</w:t>
      </w:r>
      <w:r>
        <w:rPr>
          <w:rFonts w:ascii="Times New Roman" w:hAnsi="Times New Roman"/>
          <w:color w:val="000000"/>
          <w:sz w:val="20"/>
        </w:rPr>
        <w:t>end its insured?</w:t>
      </w:r>
    </w:p>
    <w:p w14:paraId="7B10302F" w14:textId="77777777" w:rsidR="00625858" w:rsidRDefault="00AE398F">
      <w:pPr>
        <w:spacing w:after="0" w:line="275" w:lineRule="atLeast"/>
        <w:jc w:val="both"/>
      </w:pPr>
      <w:r>
        <w:rPr>
          <w:rFonts w:ascii="Times New Roman" w:hAnsi="Times New Roman"/>
          <w:color w:val="000000"/>
          <w:sz w:val="20"/>
        </w:rPr>
        <w:t> </w:t>
      </w:r>
    </w:p>
    <w:p w14:paraId="3715634D" w14:textId="77777777" w:rsidR="00625858" w:rsidRDefault="00AE398F">
      <w:pPr>
        <w:spacing w:after="0" w:line="275" w:lineRule="atLeast"/>
        <w:jc w:val="both"/>
      </w:pPr>
      <w:r>
        <w:rPr>
          <w:rFonts w:ascii="Times New Roman" w:hAnsi="Times New Roman"/>
          <w:color w:val="000000"/>
          <w:sz w:val="20"/>
        </w:rPr>
        <w:t>Whether the District Court erred in granting summary judgment to Markel on the duty to defend and the duty to indemnify?</w:t>
      </w:r>
    </w:p>
    <w:p w14:paraId="4A8F4DEC" w14:textId="77777777" w:rsidR="00625858" w:rsidRDefault="00AE398F">
      <w:pPr>
        <w:spacing w:after="0" w:line="275" w:lineRule="atLeast"/>
        <w:jc w:val="both"/>
      </w:pPr>
      <w:r>
        <w:rPr>
          <w:rFonts w:ascii="Times New Roman" w:hAnsi="Times New Roman"/>
          <w:color w:val="000000"/>
          <w:sz w:val="20"/>
        </w:rPr>
        <w:t> </w:t>
      </w:r>
    </w:p>
    <w:p w14:paraId="76AD457A" w14:textId="77777777" w:rsidR="00625858" w:rsidRDefault="00AE398F">
      <w:pPr>
        <w:spacing w:after="0" w:line="275" w:lineRule="atLeast"/>
        <w:jc w:val="center"/>
      </w:pPr>
      <w:r>
        <w:rPr>
          <w:rFonts w:ascii="Times New Roman" w:hAnsi="Times New Roman"/>
          <w:b/>
          <w:color w:val="000000"/>
          <w:sz w:val="20"/>
        </w:rPr>
        <w:t>*3</w:t>
      </w:r>
      <w:r>
        <w:rPr>
          <w:rFonts w:ascii="Times New Roman" w:hAnsi="Times New Roman"/>
          <w:color w:val="000000"/>
          <w:sz w:val="20"/>
        </w:rPr>
        <w:t xml:space="preserve"> </w:t>
      </w:r>
      <w:r>
        <w:rPr>
          <w:rFonts w:ascii="Times New Roman" w:hAnsi="Times New Roman"/>
          <w:b/>
          <w:color w:val="000000"/>
          <w:sz w:val="20"/>
        </w:rPr>
        <w:t>STATEMENT OF THE CASE</w:t>
      </w:r>
    </w:p>
    <w:p w14:paraId="704F44FD" w14:textId="77777777" w:rsidR="00625858" w:rsidRDefault="00AE398F">
      <w:pPr>
        <w:spacing w:after="0" w:line="275" w:lineRule="atLeast"/>
        <w:jc w:val="both"/>
      </w:pPr>
      <w:r>
        <w:rPr>
          <w:rFonts w:ascii="Times New Roman" w:hAnsi="Times New Roman"/>
          <w:color w:val="000000"/>
          <w:sz w:val="20"/>
        </w:rPr>
        <w:t> </w:t>
      </w:r>
    </w:p>
    <w:p w14:paraId="2C169EDD" w14:textId="77777777" w:rsidR="00625858" w:rsidRDefault="00AE398F">
      <w:pPr>
        <w:spacing w:after="0" w:line="275" w:lineRule="atLeast"/>
        <w:jc w:val="both"/>
      </w:pPr>
      <w:r>
        <w:rPr>
          <w:rFonts w:ascii="Times New Roman" w:hAnsi="Times New Roman"/>
          <w:color w:val="000000"/>
          <w:sz w:val="20"/>
        </w:rPr>
        <w:t xml:space="preserve">This appeal concerns whether the allegations in Space Race LLC's Statement of </w:t>
      </w:r>
      <w:r>
        <w:rPr>
          <w:rFonts w:ascii="Times New Roman" w:hAnsi="Times New Roman"/>
          <w:color w:val="000000"/>
          <w:sz w:val="20"/>
        </w:rPr>
        <w:t>Claim in arbitration triggered Markel's duty to defend ASSEC under a management liability policy. Markel denied coverage based on a policy exclusion “[f]or any alleged or actual liability under a written or express contract or agreement, except to the exte</w:t>
      </w:r>
      <w:r>
        <w:rPr>
          <w:rFonts w:ascii="Times New Roman" w:hAnsi="Times New Roman"/>
          <w:color w:val="000000"/>
          <w:sz w:val="20"/>
        </w:rPr>
        <w:t>nt that the Organization would have been liable in the absence of such contract or agreement” (the “Breach of Contract Exclusion”).</w:t>
      </w:r>
    </w:p>
    <w:p w14:paraId="7AD94EFC" w14:textId="77777777" w:rsidR="00625858" w:rsidRDefault="00AE398F">
      <w:pPr>
        <w:spacing w:after="0" w:line="275" w:lineRule="atLeast"/>
        <w:jc w:val="both"/>
      </w:pPr>
      <w:r>
        <w:rPr>
          <w:rFonts w:ascii="Times New Roman" w:hAnsi="Times New Roman"/>
          <w:color w:val="000000"/>
          <w:sz w:val="20"/>
        </w:rPr>
        <w:t> </w:t>
      </w:r>
    </w:p>
    <w:p w14:paraId="7DB81D6B" w14:textId="77777777" w:rsidR="00625858" w:rsidRDefault="00AE398F">
      <w:pPr>
        <w:spacing w:after="0" w:line="275" w:lineRule="atLeast"/>
        <w:jc w:val="both"/>
      </w:pPr>
      <w:r>
        <w:rPr>
          <w:rFonts w:ascii="Times New Roman" w:hAnsi="Times New Roman"/>
          <w:color w:val="000000"/>
          <w:sz w:val="20"/>
        </w:rPr>
        <w:t xml:space="preserve">Markel contends the </w:t>
      </w:r>
      <w:proofErr w:type="gramStart"/>
      <w:r>
        <w:rPr>
          <w:rFonts w:ascii="Times New Roman" w:hAnsi="Times New Roman"/>
          <w:color w:val="000000"/>
          <w:sz w:val="20"/>
        </w:rPr>
        <w:t>twenty-one page</w:t>
      </w:r>
      <w:proofErr w:type="gramEnd"/>
      <w:r>
        <w:rPr>
          <w:rFonts w:ascii="Times New Roman" w:hAnsi="Times New Roman"/>
          <w:color w:val="000000"/>
          <w:sz w:val="20"/>
        </w:rPr>
        <w:t xml:space="preserve"> Statement of Claim solely alleged that ASSEC was liable to Space Race for breach of th</w:t>
      </w:r>
      <w:r>
        <w:rPr>
          <w:rFonts w:ascii="Times New Roman" w:hAnsi="Times New Roman"/>
          <w:color w:val="000000"/>
          <w:sz w:val="20"/>
        </w:rPr>
        <w:t>e parties' Memorandum of Agreement (the “MOA”) and thus fell entirely within the Breach of Contract Exclusion. ASSEC contends the Statement of Claim included allegations of wrongful acts that potentially imposed independent tort liability on ASSEC.</w:t>
      </w:r>
    </w:p>
    <w:p w14:paraId="1B4D8616" w14:textId="77777777" w:rsidR="00625858" w:rsidRDefault="00AE398F">
      <w:pPr>
        <w:spacing w:after="0" w:line="275" w:lineRule="atLeast"/>
        <w:jc w:val="both"/>
      </w:pPr>
      <w:r>
        <w:rPr>
          <w:rFonts w:ascii="Times New Roman" w:hAnsi="Times New Roman"/>
          <w:color w:val="000000"/>
          <w:sz w:val="20"/>
        </w:rPr>
        <w:t> </w:t>
      </w:r>
    </w:p>
    <w:p w14:paraId="081DC958" w14:textId="77777777" w:rsidR="00625858" w:rsidRDefault="00AE398F">
      <w:pPr>
        <w:spacing w:after="0" w:line="275" w:lineRule="atLeast"/>
        <w:jc w:val="both"/>
      </w:pPr>
      <w:r>
        <w:rPr>
          <w:rFonts w:ascii="Times New Roman" w:hAnsi="Times New Roman"/>
          <w:b/>
          <w:color w:val="000000"/>
          <w:sz w:val="20"/>
        </w:rPr>
        <w:t xml:space="preserve">A. </w:t>
      </w:r>
      <w:r>
        <w:rPr>
          <w:rFonts w:ascii="Times New Roman" w:hAnsi="Times New Roman"/>
          <w:b/>
          <w:i/>
          <w:color w:val="000000"/>
          <w:sz w:val="20"/>
        </w:rPr>
        <w:t>St</w:t>
      </w:r>
      <w:r>
        <w:rPr>
          <w:rFonts w:ascii="Times New Roman" w:hAnsi="Times New Roman"/>
          <w:b/>
          <w:i/>
          <w:color w:val="000000"/>
          <w:sz w:val="20"/>
        </w:rPr>
        <w:t>atement of Facts</w:t>
      </w:r>
    </w:p>
    <w:p w14:paraId="79C1F627" w14:textId="77777777" w:rsidR="00625858" w:rsidRDefault="00AE398F">
      <w:pPr>
        <w:spacing w:after="0" w:line="275" w:lineRule="atLeast"/>
        <w:jc w:val="both"/>
      </w:pPr>
      <w:r>
        <w:rPr>
          <w:rFonts w:ascii="Times New Roman" w:hAnsi="Times New Roman"/>
          <w:color w:val="000000"/>
          <w:sz w:val="20"/>
        </w:rPr>
        <w:t> </w:t>
      </w:r>
    </w:p>
    <w:p w14:paraId="210D376C" w14:textId="77777777" w:rsidR="00625858" w:rsidRDefault="00AE398F">
      <w:pPr>
        <w:spacing w:after="0" w:line="275" w:lineRule="atLeast"/>
        <w:jc w:val="both"/>
      </w:pPr>
      <w:r>
        <w:rPr>
          <w:rFonts w:ascii="Times New Roman" w:hAnsi="Times New Roman"/>
          <w:color w:val="000000"/>
          <w:sz w:val="20"/>
        </w:rPr>
        <w:t xml:space="preserve">1. </w:t>
      </w:r>
      <w:r>
        <w:rPr>
          <w:rFonts w:ascii="Times New Roman" w:hAnsi="Times New Roman"/>
          <w:i/>
          <w:color w:val="000000"/>
          <w:sz w:val="20"/>
        </w:rPr>
        <w:t>The NASA Grant for Space Racers</w:t>
      </w:r>
    </w:p>
    <w:p w14:paraId="1313EA73" w14:textId="77777777" w:rsidR="00625858" w:rsidRDefault="00AE398F">
      <w:pPr>
        <w:spacing w:after="0" w:line="275" w:lineRule="atLeast"/>
        <w:jc w:val="both"/>
      </w:pPr>
      <w:r>
        <w:rPr>
          <w:rFonts w:ascii="Times New Roman" w:hAnsi="Times New Roman"/>
          <w:color w:val="000000"/>
          <w:sz w:val="20"/>
        </w:rPr>
        <w:t> </w:t>
      </w:r>
    </w:p>
    <w:p w14:paraId="7E160ACD" w14:textId="77777777" w:rsidR="00625858" w:rsidRDefault="00AE398F">
      <w:pPr>
        <w:spacing w:after="0" w:line="275" w:lineRule="atLeast"/>
        <w:jc w:val="both"/>
      </w:pPr>
      <w:r>
        <w:rPr>
          <w:rFonts w:ascii="Times New Roman" w:hAnsi="Times New Roman"/>
          <w:color w:val="000000"/>
          <w:sz w:val="20"/>
        </w:rPr>
        <w:lastRenderedPageBreak/>
        <w:t xml:space="preserve">ASSEC collaborated with Space Race LLC to administer a three-year monetary award from NASA </w:t>
      </w:r>
      <w:proofErr w:type="gramStart"/>
      <w:r>
        <w:rPr>
          <w:rFonts w:ascii="Times New Roman" w:hAnsi="Times New Roman"/>
          <w:color w:val="000000"/>
          <w:sz w:val="20"/>
        </w:rPr>
        <w:t>for the production of</w:t>
      </w:r>
      <w:proofErr w:type="gramEnd"/>
      <w:r>
        <w:rPr>
          <w:rFonts w:ascii="Times New Roman" w:hAnsi="Times New Roman"/>
          <w:color w:val="000000"/>
          <w:sz w:val="20"/>
        </w:rPr>
        <w:t xml:space="preserve"> an animated children's television series called </w:t>
      </w:r>
      <w:r>
        <w:rPr>
          <w:rFonts w:ascii="Times New Roman" w:hAnsi="Times New Roman"/>
          <w:i/>
          <w:color w:val="000000"/>
          <w:sz w:val="20"/>
        </w:rPr>
        <w:t>Space Racers</w:t>
      </w:r>
      <w:r>
        <w:rPr>
          <w:rFonts w:ascii="Times New Roman" w:hAnsi="Times New Roman"/>
          <w:color w:val="000000"/>
          <w:sz w:val="20"/>
        </w:rPr>
        <w:t>. Doc. 35-1. On May 24, 201</w:t>
      </w:r>
      <w:r>
        <w:rPr>
          <w:rFonts w:ascii="Times New Roman" w:hAnsi="Times New Roman"/>
          <w:color w:val="000000"/>
          <w:sz w:val="20"/>
        </w:rPr>
        <w:t xml:space="preserve">6, ASSEC entered into a Cooperative Agreement with NASA (the “CAN”) under which ASSEC agreed to receive the NASA funding, “contingent on the availability of funds, scientific progress of the project, and continued relevance to NASA programs.” Doc. 34-2 - </w:t>
      </w:r>
      <w:r>
        <w:rPr>
          <w:rFonts w:ascii="Times New Roman" w:hAnsi="Times New Roman"/>
          <w:b/>
          <w:color w:val="000000"/>
          <w:sz w:val="20"/>
        </w:rPr>
        <w:t>*</w:t>
      </w:r>
      <w:r>
        <w:rPr>
          <w:rFonts w:ascii="Times New Roman" w:hAnsi="Times New Roman"/>
          <w:b/>
          <w:color w:val="000000"/>
          <w:sz w:val="20"/>
        </w:rPr>
        <w:t>4</w:t>
      </w:r>
      <w:r>
        <w:rPr>
          <w:rFonts w:ascii="Times New Roman" w:hAnsi="Times New Roman"/>
          <w:color w:val="000000"/>
          <w:sz w:val="20"/>
        </w:rPr>
        <w:t xml:space="preserve"> </w:t>
      </w:r>
      <w:proofErr w:type="spellStart"/>
      <w:r>
        <w:rPr>
          <w:rFonts w:ascii="Times New Roman" w:hAnsi="Times New Roman"/>
          <w:color w:val="000000"/>
          <w:sz w:val="20"/>
        </w:rPr>
        <w:t>Pg</w:t>
      </w:r>
      <w:proofErr w:type="spellEnd"/>
      <w:r>
        <w:rPr>
          <w:rFonts w:ascii="Times New Roman" w:hAnsi="Times New Roman"/>
          <w:color w:val="000000"/>
          <w:sz w:val="20"/>
        </w:rPr>
        <w:t xml:space="preserve"> 4, ¶A). On June 29, 2016, ASSEC and Space Race </w:t>
      </w:r>
      <w:proofErr w:type="gramStart"/>
      <w:r>
        <w:rPr>
          <w:rFonts w:ascii="Times New Roman" w:hAnsi="Times New Roman"/>
          <w:color w:val="000000"/>
          <w:sz w:val="20"/>
        </w:rPr>
        <w:t>entered into</w:t>
      </w:r>
      <w:proofErr w:type="gramEnd"/>
      <w:r>
        <w:rPr>
          <w:rFonts w:ascii="Times New Roman" w:hAnsi="Times New Roman"/>
          <w:color w:val="000000"/>
          <w:sz w:val="20"/>
        </w:rPr>
        <w:t xml:space="preserve"> the MOA under which ASSEC agreed to pay Space Race's invoices, contingent upon “receipt of the related funding from NASA[.]” Doc. 55 - </w:t>
      </w:r>
      <w:proofErr w:type="spellStart"/>
      <w:r>
        <w:rPr>
          <w:rFonts w:ascii="Times New Roman" w:hAnsi="Times New Roman"/>
          <w:color w:val="000000"/>
          <w:sz w:val="20"/>
        </w:rPr>
        <w:t>Pg</w:t>
      </w:r>
      <w:proofErr w:type="spellEnd"/>
      <w:r>
        <w:rPr>
          <w:rFonts w:ascii="Times New Roman" w:hAnsi="Times New Roman"/>
          <w:color w:val="000000"/>
          <w:sz w:val="20"/>
        </w:rPr>
        <w:t xml:space="preserve"> 4; Doc. 34-1 - </w:t>
      </w:r>
      <w:proofErr w:type="spellStart"/>
      <w:r>
        <w:rPr>
          <w:rFonts w:ascii="Times New Roman" w:hAnsi="Times New Roman"/>
          <w:color w:val="000000"/>
          <w:sz w:val="20"/>
        </w:rPr>
        <w:t>Pg</w:t>
      </w:r>
      <w:proofErr w:type="spellEnd"/>
      <w:r>
        <w:rPr>
          <w:rFonts w:ascii="Times New Roman" w:hAnsi="Times New Roman"/>
          <w:color w:val="000000"/>
          <w:sz w:val="20"/>
        </w:rPr>
        <w:t xml:space="preserve"> 3, ¶3. NASA was the sole source of </w:t>
      </w:r>
      <w:r>
        <w:rPr>
          <w:rFonts w:ascii="Times New Roman" w:hAnsi="Times New Roman"/>
          <w:color w:val="000000"/>
          <w:sz w:val="20"/>
        </w:rPr>
        <w:t xml:space="preserve">funding for </w:t>
      </w:r>
      <w:r>
        <w:rPr>
          <w:rFonts w:ascii="Times New Roman" w:hAnsi="Times New Roman"/>
          <w:i/>
          <w:color w:val="000000"/>
          <w:sz w:val="20"/>
        </w:rPr>
        <w:t>Space Racers</w:t>
      </w:r>
      <w:r>
        <w:rPr>
          <w:rFonts w:ascii="Times New Roman" w:hAnsi="Times New Roman"/>
          <w:color w:val="000000"/>
          <w:sz w:val="20"/>
        </w:rPr>
        <w:t xml:space="preserve"> and ASSEC was obligated to disburse the funding to Space Race only </w:t>
      </w:r>
      <w:proofErr w:type="gramStart"/>
      <w:r>
        <w:rPr>
          <w:rFonts w:ascii="Times New Roman" w:hAnsi="Times New Roman"/>
          <w:color w:val="000000"/>
          <w:sz w:val="20"/>
        </w:rPr>
        <w:t>if and when</w:t>
      </w:r>
      <w:proofErr w:type="gramEnd"/>
      <w:r>
        <w:rPr>
          <w:rFonts w:ascii="Times New Roman" w:hAnsi="Times New Roman"/>
          <w:color w:val="000000"/>
          <w:sz w:val="20"/>
        </w:rPr>
        <w:t xml:space="preserve"> NASA provided the funds. Doc. 34-1. The MOA also provided the parties would “co-brand” the series, integrating ASSEC's name and logo into the episodes. </w:t>
      </w:r>
      <w:r>
        <w:rPr>
          <w:rFonts w:ascii="Times New Roman" w:hAnsi="Times New Roman"/>
          <w:i/>
          <w:color w:val="000000"/>
          <w:sz w:val="20"/>
        </w:rPr>
        <w:t>Id</w:t>
      </w:r>
      <w:r>
        <w:rPr>
          <w:rFonts w:ascii="Times New Roman" w:hAnsi="Times New Roman"/>
          <w:color w:val="000000"/>
          <w:sz w:val="20"/>
        </w:rPr>
        <w:t>. at ¶2.</w:t>
      </w:r>
    </w:p>
    <w:p w14:paraId="2EA95030" w14:textId="77777777" w:rsidR="00625858" w:rsidRDefault="00AE398F">
      <w:pPr>
        <w:spacing w:after="0" w:line="275" w:lineRule="atLeast"/>
        <w:jc w:val="both"/>
      </w:pPr>
      <w:r>
        <w:rPr>
          <w:rFonts w:ascii="Times New Roman" w:hAnsi="Times New Roman"/>
          <w:color w:val="000000"/>
          <w:sz w:val="20"/>
        </w:rPr>
        <w:t> </w:t>
      </w:r>
    </w:p>
    <w:p w14:paraId="307602B4" w14:textId="77777777" w:rsidR="00625858" w:rsidRDefault="00AE398F">
      <w:pPr>
        <w:spacing w:after="0" w:line="275" w:lineRule="atLeast"/>
        <w:jc w:val="both"/>
      </w:pPr>
      <w:r>
        <w:rPr>
          <w:rFonts w:ascii="Times New Roman" w:hAnsi="Times New Roman"/>
          <w:color w:val="000000"/>
          <w:sz w:val="20"/>
        </w:rPr>
        <w:t xml:space="preserve">2. </w:t>
      </w:r>
      <w:r>
        <w:rPr>
          <w:rFonts w:ascii="Times New Roman" w:hAnsi="Times New Roman"/>
          <w:i/>
          <w:color w:val="000000"/>
          <w:sz w:val="20"/>
        </w:rPr>
        <w:t>Space Race's Allegations Against ASSEC</w:t>
      </w:r>
    </w:p>
    <w:p w14:paraId="3A526EE2" w14:textId="77777777" w:rsidR="00625858" w:rsidRDefault="00AE398F">
      <w:pPr>
        <w:spacing w:after="0" w:line="275" w:lineRule="atLeast"/>
        <w:jc w:val="both"/>
      </w:pPr>
      <w:r>
        <w:rPr>
          <w:rFonts w:ascii="Times New Roman" w:hAnsi="Times New Roman"/>
          <w:color w:val="000000"/>
          <w:sz w:val="20"/>
        </w:rPr>
        <w:t> </w:t>
      </w:r>
    </w:p>
    <w:p w14:paraId="0774B67C" w14:textId="77777777" w:rsidR="00625858" w:rsidRDefault="00AE398F">
      <w:pPr>
        <w:spacing w:after="0" w:line="275" w:lineRule="atLeast"/>
        <w:jc w:val="both"/>
      </w:pPr>
      <w:r>
        <w:rPr>
          <w:rFonts w:ascii="Times New Roman" w:hAnsi="Times New Roman"/>
          <w:color w:val="000000"/>
          <w:sz w:val="20"/>
        </w:rPr>
        <w:t xml:space="preserve">On December 28, 2017, Space Race filed an arbitration demand against ASSEC seeking $1.5 million in compensatory damages, attorneys' fees, and “punitive/exemplary” relief. Doc. 34-3. On January 2, 2018, Space Race filed its Statement of Claim detailing how </w:t>
      </w:r>
      <w:r>
        <w:rPr>
          <w:rFonts w:ascii="Times New Roman" w:hAnsi="Times New Roman"/>
          <w:color w:val="000000"/>
          <w:sz w:val="20"/>
        </w:rPr>
        <w:t xml:space="preserve">ASSEC “blockaded” Space Race's receipt of $1.5 million in year-three funds “by creating a false pretext to prevent NASA, a willing funder, from funding.” Doc. 34-4 - </w:t>
      </w:r>
      <w:proofErr w:type="spellStart"/>
      <w:r>
        <w:rPr>
          <w:rFonts w:ascii="Times New Roman" w:hAnsi="Times New Roman"/>
          <w:color w:val="000000"/>
          <w:sz w:val="20"/>
        </w:rPr>
        <w:t>Pg</w:t>
      </w:r>
      <w:proofErr w:type="spellEnd"/>
      <w:r>
        <w:rPr>
          <w:rFonts w:ascii="Times New Roman" w:hAnsi="Times New Roman"/>
          <w:color w:val="000000"/>
          <w:sz w:val="20"/>
        </w:rPr>
        <w:t xml:space="preserve"> 2, 4, ¶¶1, 2, 10. Space Race alleged that ASSEC's then-CEO Dr. Deborah Barnhart “manipu</w:t>
      </w:r>
      <w:r>
        <w:rPr>
          <w:rFonts w:ascii="Times New Roman" w:hAnsi="Times New Roman"/>
          <w:color w:val="000000"/>
          <w:sz w:val="20"/>
        </w:rPr>
        <w:t xml:space="preserve">lated NASA personnel” into cancelling the funding because Space Race would not honor her request to fly a young actress to Huntsville for the second season launch of </w:t>
      </w:r>
      <w:r>
        <w:rPr>
          <w:rFonts w:ascii="Times New Roman" w:hAnsi="Times New Roman"/>
          <w:i/>
          <w:color w:val="000000"/>
          <w:sz w:val="20"/>
        </w:rPr>
        <w:t>Space Racers</w:t>
      </w:r>
      <w:r>
        <w:rPr>
          <w:rFonts w:ascii="Times New Roman" w:hAnsi="Times New Roman"/>
          <w:color w:val="000000"/>
          <w:sz w:val="20"/>
        </w:rPr>
        <w:t xml:space="preserve">. </w:t>
      </w:r>
      <w:r>
        <w:rPr>
          <w:rFonts w:ascii="Times New Roman" w:hAnsi="Times New Roman"/>
          <w:i/>
          <w:color w:val="000000"/>
          <w:sz w:val="20"/>
        </w:rPr>
        <w:t>Id</w:t>
      </w:r>
      <w:r>
        <w:rPr>
          <w:rFonts w:ascii="Times New Roman" w:hAnsi="Times New Roman"/>
          <w:color w:val="000000"/>
          <w:sz w:val="20"/>
        </w:rPr>
        <w:t xml:space="preserve">. at </w:t>
      </w:r>
      <w:proofErr w:type="spellStart"/>
      <w:r>
        <w:rPr>
          <w:rFonts w:ascii="Times New Roman" w:hAnsi="Times New Roman"/>
          <w:color w:val="000000"/>
          <w:sz w:val="20"/>
        </w:rPr>
        <w:t>Pg</w:t>
      </w:r>
      <w:proofErr w:type="spellEnd"/>
      <w:r>
        <w:rPr>
          <w:rFonts w:ascii="Times New Roman" w:hAnsi="Times New Roman"/>
          <w:color w:val="000000"/>
          <w:sz w:val="20"/>
        </w:rPr>
        <w:t xml:space="preserve"> 5-6, ¶11, 15-16. In addition to breach of contract, Space Race rep</w:t>
      </w:r>
      <w:r>
        <w:rPr>
          <w:rFonts w:ascii="Times New Roman" w:hAnsi="Times New Roman"/>
          <w:color w:val="000000"/>
          <w:sz w:val="20"/>
        </w:rPr>
        <w:t xml:space="preserve">eatedly alleged that ASSEC breached the implied duty of good faith and fair dealing by refusing to request the year-three funding from NASA. </w:t>
      </w:r>
      <w:r>
        <w:rPr>
          <w:rFonts w:ascii="Times New Roman" w:hAnsi="Times New Roman"/>
          <w:i/>
          <w:color w:val="000000"/>
          <w:sz w:val="20"/>
        </w:rPr>
        <w:t>Id</w:t>
      </w:r>
      <w:r>
        <w:rPr>
          <w:rFonts w:ascii="Times New Roman" w:hAnsi="Times New Roman"/>
          <w:color w:val="000000"/>
          <w:sz w:val="20"/>
        </w:rPr>
        <w:t xml:space="preserve">. at </w:t>
      </w:r>
      <w:proofErr w:type="spellStart"/>
      <w:r>
        <w:rPr>
          <w:rFonts w:ascii="Times New Roman" w:hAnsi="Times New Roman"/>
          <w:color w:val="000000"/>
          <w:sz w:val="20"/>
        </w:rPr>
        <w:t>Pg</w:t>
      </w:r>
      <w:proofErr w:type="spellEnd"/>
      <w:r>
        <w:rPr>
          <w:rFonts w:ascii="Times New Roman" w:hAnsi="Times New Roman"/>
          <w:color w:val="000000"/>
          <w:sz w:val="20"/>
        </w:rPr>
        <w:t xml:space="preserve"> 20, ¶67; </w:t>
      </w:r>
      <w:r>
        <w:rPr>
          <w:rFonts w:ascii="Times New Roman" w:hAnsi="Times New Roman"/>
          <w:i/>
          <w:color w:val="000000"/>
          <w:sz w:val="20"/>
        </w:rPr>
        <w:t>see</w:t>
      </w:r>
      <w:r>
        <w:rPr>
          <w:rFonts w:ascii="Times New Roman" w:hAnsi="Times New Roman"/>
          <w:color w:val="000000"/>
          <w:sz w:val="20"/>
        </w:rPr>
        <w:t xml:space="preserve"> </w:t>
      </w:r>
      <w:proofErr w:type="spellStart"/>
      <w:r>
        <w:rPr>
          <w:rFonts w:ascii="Times New Roman" w:hAnsi="Times New Roman"/>
          <w:color w:val="000000"/>
          <w:sz w:val="20"/>
        </w:rPr>
        <w:t>Pg</w:t>
      </w:r>
      <w:proofErr w:type="spellEnd"/>
      <w:r>
        <w:rPr>
          <w:rFonts w:ascii="Times New Roman" w:hAnsi="Times New Roman"/>
          <w:color w:val="000000"/>
          <w:sz w:val="20"/>
        </w:rPr>
        <w:t xml:space="preserve"> 2, 14-16, ¶¶2, </w:t>
      </w:r>
      <w:r>
        <w:rPr>
          <w:rFonts w:ascii="Times New Roman" w:hAnsi="Times New Roman"/>
          <w:b/>
          <w:color w:val="000000"/>
          <w:sz w:val="20"/>
        </w:rPr>
        <w:t>*5</w:t>
      </w:r>
      <w:r>
        <w:rPr>
          <w:rFonts w:ascii="Times New Roman" w:hAnsi="Times New Roman"/>
          <w:color w:val="000000"/>
          <w:sz w:val="20"/>
        </w:rPr>
        <w:t xml:space="preserve"> 44-52. Space Race also alleged that after accepting the benefits of cob</w:t>
      </w:r>
      <w:r>
        <w:rPr>
          <w:rFonts w:ascii="Times New Roman" w:hAnsi="Times New Roman"/>
          <w:color w:val="000000"/>
          <w:sz w:val="20"/>
        </w:rPr>
        <w:t xml:space="preserve">randing with Space Race, ASSEC owed “the reasonable value of its services in </w:t>
      </w:r>
      <w:r>
        <w:rPr>
          <w:rFonts w:ascii="Times New Roman" w:hAnsi="Times New Roman"/>
          <w:i/>
          <w:color w:val="000000"/>
          <w:sz w:val="20"/>
        </w:rPr>
        <w:t>quantum meruit</w:t>
      </w:r>
      <w:r>
        <w:rPr>
          <w:rFonts w:ascii="Times New Roman" w:hAnsi="Times New Roman"/>
          <w:color w:val="000000"/>
          <w:sz w:val="20"/>
        </w:rPr>
        <w:t xml:space="preserve">.” </w:t>
      </w:r>
      <w:r>
        <w:rPr>
          <w:rFonts w:ascii="Times New Roman" w:hAnsi="Times New Roman"/>
          <w:i/>
          <w:color w:val="000000"/>
          <w:sz w:val="20"/>
        </w:rPr>
        <w:t>Id</w:t>
      </w:r>
      <w:r>
        <w:rPr>
          <w:rFonts w:ascii="Times New Roman" w:hAnsi="Times New Roman"/>
          <w:color w:val="000000"/>
          <w:sz w:val="20"/>
        </w:rPr>
        <w:t xml:space="preserve">. at </w:t>
      </w:r>
      <w:proofErr w:type="spellStart"/>
      <w:r>
        <w:rPr>
          <w:rFonts w:ascii="Times New Roman" w:hAnsi="Times New Roman"/>
          <w:color w:val="000000"/>
          <w:sz w:val="20"/>
        </w:rPr>
        <w:t>Pg</w:t>
      </w:r>
      <w:proofErr w:type="spellEnd"/>
      <w:r>
        <w:rPr>
          <w:rFonts w:ascii="Times New Roman" w:hAnsi="Times New Roman"/>
          <w:color w:val="000000"/>
          <w:sz w:val="20"/>
        </w:rPr>
        <w:t xml:space="preserve"> 21-22, ¶¶76-77.</w:t>
      </w:r>
    </w:p>
    <w:p w14:paraId="2389797B" w14:textId="77777777" w:rsidR="00625858" w:rsidRDefault="00AE398F">
      <w:pPr>
        <w:spacing w:after="0" w:line="275" w:lineRule="atLeast"/>
        <w:jc w:val="both"/>
      </w:pPr>
      <w:r>
        <w:rPr>
          <w:rFonts w:ascii="Times New Roman" w:hAnsi="Times New Roman"/>
          <w:color w:val="000000"/>
          <w:sz w:val="20"/>
        </w:rPr>
        <w:t> </w:t>
      </w:r>
    </w:p>
    <w:p w14:paraId="6C0633A1" w14:textId="77777777" w:rsidR="00625858" w:rsidRDefault="00AE398F">
      <w:pPr>
        <w:spacing w:after="0" w:line="275" w:lineRule="atLeast"/>
        <w:jc w:val="both"/>
      </w:pPr>
      <w:r>
        <w:rPr>
          <w:rFonts w:ascii="Times New Roman" w:hAnsi="Times New Roman"/>
          <w:color w:val="000000"/>
          <w:sz w:val="20"/>
        </w:rPr>
        <w:t xml:space="preserve">3. </w:t>
      </w:r>
      <w:r>
        <w:rPr>
          <w:rFonts w:ascii="Times New Roman" w:hAnsi="Times New Roman"/>
          <w:i/>
          <w:color w:val="000000"/>
          <w:sz w:val="20"/>
        </w:rPr>
        <w:t>The Policy</w:t>
      </w:r>
    </w:p>
    <w:p w14:paraId="44F7A06C" w14:textId="77777777" w:rsidR="00625858" w:rsidRDefault="00AE398F">
      <w:pPr>
        <w:spacing w:after="0" w:line="275" w:lineRule="atLeast"/>
        <w:jc w:val="both"/>
      </w:pPr>
      <w:r>
        <w:rPr>
          <w:rFonts w:ascii="Times New Roman" w:hAnsi="Times New Roman"/>
          <w:color w:val="000000"/>
          <w:sz w:val="20"/>
        </w:rPr>
        <w:t> </w:t>
      </w:r>
    </w:p>
    <w:p w14:paraId="6AD22FAA" w14:textId="77777777" w:rsidR="00625858" w:rsidRDefault="00AE398F">
      <w:pPr>
        <w:spacing w:after="0" w:line="275" w:lineRule="atLeast"/>
        <w:jc w:val="both"/>
      </w:pPr>
      <w:r>
        <w:rPr>
          <w:rFonts w:ascii="Times New Roman" w:hAnsi="Times New Roman"/>
          <w:color w:val="000000"/>
          <w:sz w:val="20"/>
        </w:rPr>
        <w:t>ASSEC purchased a Not-For-Profit Management Liability Policy from Markel that included a Directors and Officers and Or</w:t>
      </w:r>
      <w:r>
        <w:rPr>
          <w:rFonts w:ascii="Times New Roman" w:hAnsi="Times New Roman"/>
          <w:color w:val="000000"/>
          <w:sz w:val="20"/>
        </w:rPr>
        <w:t xml:space="preserve">ganization Liability Coverage Part. Doc. 34-5 - </w:t>
      </w:r>
      <w:proofErr w:type="spellStart"/>
      <w:r>
        <w:rPr>
          <w:rFonts w:ascii="Times New Roman" w:hAnsi="Times New Roman"/>
          <w:color w:val="000000"/>
          <w:sz w:val="20"/>
        </w:rPr>
        <w:t>Pg</w:t>
      </w:r>
      <w:proofErr w:type="spellEnd"/>
      <w:r>
        <w:rPr>
          <w:rFonts w:ascii="Times New Roman" w:hAnsi="Times New Roman"/>
          <w:color w:val="000000"/>
          <w:sz w:val="20"/>
        </w:rPr>
        <w:t xml:space="preserve"> 6-7. Under that Coverage Part, Markel promised to “pay on behalf of [ASSEC] all </w:t>
      </w:r>
      <w:r>
        <w:rPr>
          <w:rFonts w:ascii="Times New Roman" w:hAnsi="Times New Roman"/>
          <w:b/>
          <w:color w:val="000000"/>
          <w:sz w:val="20"/>
        </w:rPr>
        <w:t>Loss</w:t>
      </w:r>
      <w:r>
        <w:rPr>
          <w:rFonts w:ascii="Times New Roman" w:hAnsi="Times New Roman"/>
          <w:color w:val="000000"/>
          <w:sz w:val="20"/>
        </w:rPr>
        <w:t xml:space="preserve"> which [ASSEC] becomes legally obligated to pay on account of a </w:t>
      </w:r>
      <w:r>
        <w:rPr>
          <w:rFonts w:ascii="Times New Roman" w:hAnsi="Times New Roman"/>
          <w:b/>
          <w:color w:val="000000"/>
          <w:sz w:val="20"/>
        </w:rPr>
        <w:t>Claim</w:t>
      </w:r>
      <w:r>
        <w:rPr>
          <w:rFonts w:ascii="Times New Roman" w:hAnsi="Times New Roman"/>
          <w:color w:val="000000"/>
          <w:sz w:val="20"/>
        </w:rPr>
        <w:t xml:space="preserve"> ... for a </w:t>
      </w:r>
      <w:r>
        <w:rPr>
          <w:rFonts w:ascii="Times New Roman" w:hAnsi="Times New Roman"/>
          <w:b/>
          <w:color w:val="000000"/>
          <w:sz w:val="20"/>
        </w:rPr>
        <w:t>Wrongful Act...</w:t>
      </w:r>
      <w:r>
        <w:rPr>
          <w:rFonts w:ascii="Times New Roman" w:hAnsi="Times New Roman"/>
          <w:color w:val="000000"/>
          <w:sz w:val="20"/>
        </w:rPr>
        <w:t>,” defined as a “misleadin</w:t>
      </w:r>
      <w:r>
        <w:rPr>
          <w:rFonts w:ascii="Times New Roman" w:hAnsi="Times New Roman"/>
          <w:color w:val="000000"/>
          <w:sz w:val="20"/>
        </w:rPr>
        <w:t xml:space="preserve">g statement, act, omission, neglect, or breach of duty.” </w:t>
      </w:r>
      <w:r>
        <w:rPr>
          <w:rFonts w:ascii="Times New Roman" w:hAnsi="Times New Roman"/>
          <w:i/>
          <w:color w:val="000000"/>
          <w:sz w:val="20"/>
        </w:rPr>
        <w:t>Id</w:t>
      </w:r>
      <w:r>
        <w:rPr>
          <w:rFonts w:ascii="Times New Roman" w:hAnsi="Times New Roman"/>
          <w:color w:val="000000"/>
          <w:sz w:val="20"/>
        </w:rPr>
        <w:t xml:space="preserve">. at 27-28, 30, D&amp;O </w:t>
      </w:r>
      <w:proofErr w:type="spellStart"/>
      <w:r>
        <w:rPr>
          <w:rFonts w:ascii="Times New Roman" w:hAnsi="Times New Roman"/>
          <w:color w:val="000000"/>
          <w:sz w:val="20"/>
        </w:rPr>
        <w:t>Cov</w:t>
      </w:r>
      <w:proofErr w:type="spellEnd"/>
      <w:r>
        <w:rPr>
          <w:rFonts w:ascii="Times New Roman" w:hAnsi="Times New Roman"/>
          <w:color w:val="000000"/>
          <w:sz w:val="20"/>
        </w:rPr>
        <w:t xml:space="preserve">. Part, §§ I.C., III.N. The definition of “Claim” included “[a]n arbitration, mediation or other alternative dispute resolution proceeding against an </w:t>
      </w:r>
      <w:r>
        <w:rPr>
          <w:rFonts w:ascii="Times New Roman" w:hAnsi="Times New Roman"/>
          <w:b/>
          <w:color w:val="000000"/>
          <w:sz w:val="20"/>
        </w:rPr>
        <w:t>Insured</w:t>
      </w:r>
      <w:r>
        <w:rPr>
          <w:rFonts w:ascii="Times New Roman" w:hAnsi="Times New Roman"/>
          <w:color w:val="000000"/>
          <w:sz w:val="20"/>
        </w:rPr>
        <w:t xml:space="preserve"> ... [f]or a </w:t>
      </w:r>
      <w:r>
        <w:rPr>
          <w:rFonts w:ascii="Times New Roman" w:hAnsi="Times New Roman"/>
          <w:b/>
          <w:color w:val="000000"/>
          <w:sz w:val="20"/>
        </w:rPr>
        <w:t>Wron</w:t>
      </w:r>
      <w:r>
        <w:rPr>
          <w:rFonts w:ascii="Times New Roman" w:hAnsi="Times New Roman"/>
          <w:b/>
          <w:color w:val="000000"/>
          <w:sz w:val="20"/>
        </w:rPr>
        <w:t>gful Act</w:t>
      </w:r>
      <w:r>
        <w:rPr>
          <w:rFonts w:ascii="Times New Roman" w:hAnsi="Times New Roman"/>
          <w:color w:val="000000"/>
          <w:sz w:val="20"/>
        </w:rPr>
        <w:t xml:space="preserve">, including any appeal therefrom.” </w:t>
      </w:r>
      <w:r>
        <w:rPr>
          <w:rFonts w:ascii="Times New Roman" w:hAnsi="Times New Roman"/>
          <w:i/>
          <w:color w:val="000000"/>
          <w:sz w:val="20"/>
        </w:rPr>
        <w:t>Id</w:t>
      </w:r>
      <w:r>
        <w:rPr>
          <w:rFonts w:ascii="Times New Roman" w:hAnsi="Times New Roman"/>
          <w:color w:val="000000"/>
          <w:sz w:val="20"/>
        </w:rPr>
        <w:t>. at 28, § III.C.</w:t>
      </w:r>
    </w:p>
    <w:p w14:paraId="1C7B8432" w14:textId="77777777" w:rsidR="00625858" w:rsidRDefault="00AE398F">
      <w:pPr>
        <w:spacing w:after="0" w:line="275" w:lineRule="atLeast"/>
        <w:jc w:val="both"/>
      </w:pPr>
      <w:r>
        <w:rPr>
          <w:rFonts w:ascii="Times New Roman" w:hAnsi="Times New Roman"/>
          <w:color w:val="000000"/>
          <w:sz w:val="20"/>
        </w:rPr>
        <w:t> </w:t>
      </w:r>
    </w:p>
    <w:p w14:paraId="498B3A52" w14:textId="77777777" w:rsidR="00625858" w:rsidRDefault="00AE398F">
      <w:pPr>
        <w:spacing w:after="0" w:line="275" w:lineRule="atLeast"/>
        <w:jc w:val="both"/>
      </w:pPr>
      <w:r>
        <w:rPr>
          <w:rFonts w:ascii="Times New Roman" w:hAnsi="Times New Roman"/>
          <w:color w:val="000000"/>
          <w:sz w:val="20"/>
        </w:rPr>
        <w:t xml:space="preserve">Markel had “the right and duty to defend any </w:t>
      </w:r>
      <w:r>
        <w:rPr>
          <w:rFonts w:ascii="Times New Roman" w:hAnsi="Times New Roman"/>
          <w:b/>
          <w:color w:val="000000"/>
          <w:sz w:val="20"/>
        </w:rPr>
        <w:t>Claim</w:t>
      </w:r>
      <w:r>
        <w:rPr>
          <w:rFonts w:ascii="Times New Roman" w:hAnsi="Times New Roman"/>
          <w:color w:val="000000"/>
          <w:sz w:val="20"/>
        </w:rPr>
        <w:t xml:space="preserve"> covered under such Coverage Part, even if any of the allegations are groundless, false or fraudulent.” </w:t>
      </w:r>
      <w:r>
        <w:rPr>
          <w:rFonts w:ascii="Times New Roman" w:hAnsi="Times New Roman"/>
          <w:i/>
          <w:color w:val="000000"/>
          <w:sz w:val="20"/>
        </w:rPr>
        <w:t>Id</w:t>
      </w:r>
      <w:r>
        <w:rPr>
          <w:rFonts w:ascii="Times New Roman" w:hAnsi="Times New Roman"/>
          <w:color w:val="000000"/>
          <w:sz w:val="20"/>
        </w:rPr>
        <w:t>. at 7, 18, § IV.A.1.a. If any alle</w:t>
      </w:r>
      <w:r>
        <w:rPr>
          <w:rFonts w:ascii="Times New Roman" w:hAnsi="Times New Roman"/>
          <w:color w:val="000000"/>
          <w:sz w:val="20"/>
        </w:rPr>
        <w:t>gation fell within coverage, Markel was obligated to defend ASSEC and pay all “</w:t>
      </w:r>
      <w:r>
        <w:rPr>
          <w:rFonts w:ascii="Times New Roman" w:hAnsi="Times New Roman"/>
          <w:b/>
          <w:color w:val="000000"/>
          <w:sz w:val="20"/>
        </w:rPr>
        <w:t>Claim Expenses</w:t>
      </w:r>
      <w:r>
        <w:rPr>
          <w:rFonts w:ascii="Times New Roman" w:hAnsi="Times New Roman"/>
          <w:color w:val="000000"/>
          <w:sz w:val="20"/>
        </w:rPr>
        <w:t>,” defined as “reasonable and necessary fees, costs and expenses ... [</w:t>
      </w:r>
      <w:proofErr w:type="spellStart"/>
      <w:r>
        <w:rPr>
          <w:rFonts w:ascii="Times New Roman" w:hAnsi="Times New Roman"/>
          <w:color w:val="000000"/>
          <w:sz w:val="20"/>
        </w:rPr>
        <w:t>i</w:t>
      </w:r>
      <w:proofErr w:type="spellEnd"/>
      <w:r>
        <w:rPr>
          <w:rFonts w:ascii="Times New Roman" w:hAnsi="Times New Roman"/>
          <w:color w:val="000000"/>
          <w:sz w:val="20"/>
        </w:rPr>
        <w:t xml:space="preserve">]n the defense or appeal of that portion of any </w:t>
      </w:r>
      <w:r>
        <w:rPr>
          <w:rFonts w:ascii="Times New Roman" w:hAnsi="Times New Roman"/>
          <w:b/>
          <w:color w:val="000000"/>
          <w:sz w:val="20"/>
        </w:rPr>
        <w:t>Claim</w:t>
      </w:r>
      <w:r>
        <w:rPr>
          <w:rFonts w:ascii="Times New Roman" w:hAnsi="Times New Roman"/>
          <w:color w:val="000000"/>
          <w:sz w:val="20"/>
        </w:rPr>
        <w:t xml:space="preserve"> for which coverage is afforded under t</w:t>
      </w:r>
      <w:r>
        <w:rPr>
          <w:rFonts w:ascii="Times New Roman" w:hAnsi="Times New Roman"/>
          <w:color w:val="000000"/>
          <w:sz w:val="20"/>
        </w:rPr>
        <w:t xml:space="preserve">his policy.” </w:t>
      </w:r>
      <w:r>
        <w:rPr>
          <w:rFonts w:ascii="Times New Roman" w:hAnsi="Times New Roman"/>
          <w:i/>
          <w:color w:val="000000"/>
          <w:sz w:val="20"/>
        </w:rPr>
        <w:t>Id</w:t>
      </w:r>
      <w:r>
        <w:rPr>
          <w:rFonts w:ascii="Times New Roman" w:hAnsi="Times New Roman"/>
          <w:color w:val="000000"/>
          <w:sz w:val="20"/>
        </w:rPr>
        <w:t xml:space="preserve">. at 12, § II.C. Markel agreed that “one hundred percent (100%) of [ASSEC's] </w:t>
      </w:r>
      <w:r>
        <w:rPr>
          <w:rFonts w:ascii="Times New Roman" w:hAnsi="Times New Roman"/>
          <w:b/>
          <w:color w:val="000000"/>
          <w:sz w:val="20"/>
        </w:rPr>
        <w:t>Claim Expenses</w:t>
      </w:r>
      <w:r>
        <w:rPr>
          <w:rFonts w:ascii="Times New Roman" w:hAnsi="Times New Roman"/>
          <w:color w:val="000000"/>
          <w:sz w:val="20"/>
        </w:rPr>
        <w:t xml:space="preserve"> shall be allocated </w:t>
      </w:r>
      <w:r>
        <w:rPr>
          <w:rFonts w:ascii="Times New Roman" w:hAnsi="Times New Roman"/>
          <w:b/>
          <w:color w:val="000000"/>
          <w:sz w:val="20"/>
        </w:rPr>
        <w:t>*6</w:t>
      </w:r>
      <w:r>
        <w:rPr>
          <w:rFonts w:ascii="Times New Roman" w:hAnsi="Times New Roman"/>
          <w:color w:val="000000"/>
          <w:sz w:val="20"/>
        </w:rPr>
        <w:t xml:space="preserve"> to covered </w:t>
      </w:r>
      <w:r>
        <w:rPr>
          <w:rFonts w:ascii="Times New Roman" w:hAnsi="Times New Roman"/>
          <w:b/>
          <w:color w:val="000000"/>
          <w:sz w:val="20"/>
        </w:rPr>
        <w:t>Loss</w:t>
      </w:r>
      <w:r>
        <w:rPr>
          <w:rFonts w:ascii="Times New Roman" w:hAnsi="Times New Roman"/>
          <w:color w:val="000000"/>
          <w:sz w:val="20"/>
        </w:rPr>
        <w:t xml:space="preserve">.” </w:t>
      </w:r>
      <w:r>
        <w:rPr>
          <w:rFonts w:ascii="Times New Roman" w:hAnsi="Times New Roman"/>
          <w:i/>
          <w:color w:val="000000"/>
          <w:sz w:val="20"/>
        </w:rPr>
        <w:t>Id</w:t>
      </w:r>
      <w:r>
        <w:rPr>
          <w:rFonts w:ascii="Times New Roman" w:hAnsi="Times New Roman"/>
          <w:color w:val="000000"/>
          <w:sz w:val="20"/>
        </w:rPr>
        <w:t xml:space="preserve">. at p. 22 of 62, § VII.1. “Loss” is “the total amount the </w:t>
      </w:r>
      <w:r>
        <w:rPr>
          <w:rFonts w:ascii="Times New Roman" w:hAnsi="Times New Roman"/>
          <w:b/>
          <w:color w:val="000000"/>
          <w:sz w:val="20"/>
        </w:rPr>
        <w:t>Insured</w:t>
      </w:r>
      <w:r>
        <w:rPr>
          <w:rFonts w:ascii="Times New Roman" w:hAnsi="Times New Roman"/>
          <w:color w:val="000000"/>
          <w:sz w:val="20"/>
        </w:rPr>
        <w:t xml:space="preserve"> becomes legally obligated to pay on acco</w:t>
      </w:r>
      <w:r>
        <w:rPr>
          <w:rFonts w:ascii="Times New Roman" w:hAnsi="Times New Roman"/>
          <w:color w:val="000000"/>
          <w:sz w:val="20"/>
        </w:rPr>
        <w:t xml:space="preserve">unt of covered </w:t>
      </w:r>
      <w:r>
        <w:rPr>
          <w:rFonts w:ascii="Times New Roman" w:hAnsi="Times New Roman"/>
          <w:b/>
          <w:color w:val="000000"/>
          <w:sz w:val="20"/>
        </w:rPr>
        <w:t>Claims</w:t>
      </w:r>
      <w:r>
        <w:rPr>
          <w:rFonts w:ascii="Times New Roman" w:hAnsi="Times New Roman"/>
          <w:color w:val="000000"/>
          <w:sz w:val="20"/>
        </w:rPr>
        <w:t xml:space="preserve"> made against them, including, but not limited to, damages (including punitive, exemplary or multiple damages), [and] judgments ...” </w:t>
      </w:r>
      <w:r>
        <w:rPr>
          <w:rFonts w:ascii="Times New Roman" w:hAnsi="Times New Roman"/>
          <w:i/>
          <w:color w:val="000000"/>
          <w:sz w:val="20"/>
        </w:rPr>
        <w:t>Id</w:t>
      </w:r>
      <w:r>
        <w:rPr>
          <w:rFonts w:ascii="Times New Roman" w:hAnsi="Times New Roman"/>
          <w:color w:val="000000"/>
          <w:sz w:val="20"/>
        </w:rPr>
        <w:t>. at 29, § III.I.).</w:t>
      </w:r>
    </w:p>
    <w:p w14:paraId="7D49328D" w14:textId="77777777" w:rsidR="00625858" w:rsidRDefault="00AE398F">
      <w:pPr>
        <w:spacing w:after="0" w:line="275" w:lineRule="atLeast"/>
        <w:jc w:val="both"/>
      </w:pPr>
      <w:r>
        <w:rPr>
          <w:rFonts w:ascii="Times New Roman" w:hAnsi="Times New Roman"/>
          <w:color w:val="000000"/>
          <w:sz w:val="20"/>
        </w:rPr>
        <w:t> </w:t>
      </w:r>
    </w:p>
    <w:p w14:paraId="7C255876" w14:textId="77777777" w:rsidR="00625858" w:rsidRDefault="00AE398F">
      <w:pPr>
        <w:spacing w:after="0" w:line="275" w:lineRule="atLeast"/>
        <w:jc w:val="both"/>
      </w:pPr>
      <w:r>
        <w:rPr>
          <w:rFonts w:ascii="Times New Roman" w:hAnsi="Times New Roman"/>
          <w:color w:val="000000"/>
          <w:sz w:val="20"/>
        </w:rPr>
        <w:t>Certain policy exclusions (not applicable here) begin with the phrase “based u</w:t>
      </w:r>
      <w:r>
        <w:rPr>
          <w:rFonts w:ascii="Times New Roman" w:hAnsi="Times New Roman"/>
          <w:color w:val="000000"/>
          <w:sz w:val="20"/>
        </w:rPr>
        <w:t xml:space="preserve">pon, arising out of, or in any way involving.” </w:t>
      </w:r>
      <w:r>
        <w:rPr>
          <w:rFonts w:ascii="Times New Roman" w:hAnsi="Times New Roman"/>
          <w:i/>
          <w:color w:val="000000"/>
          <w:sz w:val="20"/>
        </w:rPr>
        <w:t>Id</w:t>
      </w:r>
      <w:r>
        <w:rPr>
          <w:rFonts w:ascii="Times New Roman" w:hAnsi="Times New Roman"/>
          <w:color w:val="000000"/>
          <w:sz w:val="20"/>
        </w:rPr>
        <w:t xml:space="preserve">. at 30-32, § IV.A, B, G, H, I, J, and K. Unlike those exclusions, the Breach of Contract Exclusion begins with the word “for,” providing that “the </w:t>
      </w:r>
      <w:r>
        <w:rPr>
          <w:rFonts w:ascii="Times New Roman" w:hAnsi="Times New Roman"/>
          <w:b/>
          <w:color w:val="000000"/>
          <w:sz w:val="20"/>
        </w:rPr>
        <w:t>Insurer</w:t>
      </w:r>
      <w:r>
        <w:rPr>
          <w:rFonts w:ascii="Times New Roman" w:hAnsi="Times New Roman"/>
          <w:color w:val="000000"/>
          <w:sz w:val="20"/>
        </w:rPr>
        <w:t xml:space="preserve"> will not be liable to make any payment of </w:t>
      </w:r>
      <w:r>
        <w:rPr>
          <w:rFonts w:ascii="Times New Roman" w:hAnsi="Times New Roman"/>
          <w:b/>
          <w:color w:val="000000"/>
          <w:sz w:val="20"/>
        </w:rPr>
        <w:t>Loss</w:t>
      </w:r>
      <w:r>
        <w:rPr>
          <w:rFonts w:ascii="Times New Roman" w:hAnsi="Times New Roman"/>
          <w:color w:val="000000"/>
          <w:sz w:val="20"/>
        </w:rPr>
        <w:t xml:space="preserve"> in c</w:t>
      </w:r>
      <w:r>
        <w:rPr>
          <w:rFonts w:ascii="Times New Roman" w:hAnsi="Times New Roman"/>
          <w:color w:val="000000"/>
          <w:sz w:val="20"/>
        </w:rPr>
        <w:t xml:space="preserve">onnection with a </w:t>
      </w:r>
      <w:r>
        <w:rPr>
          <w:rFonts w:ascii="Times New Roman" w:hAnsi="Times New Roman"/>
          <w:b/>
          <w:color w:val="000000"/>
          <w:sz w:val="20"/>
        </w:rPr>
        <w:t>Claim</w:t>
      </w:r>
      <w:r>
        <w:rPr>
          <w:rFonts w:ascii="Times New Roman" w:hAnsi="Times New Roman"/>
          <w:color w:val="000000"/>
          <w:sz w:val="20"/>
        </w:rPr>
        <w:t xml:space="preserve">: ... “[f]or any alleged or actual liability under a written or express contract or agreement, except to the extent that the Organization would have been liable in the absence of such contract or agreement.” </w:t>
      </w:r>
      <w:r>
        <w:rPr>
          <w:rFonts w:ascii="Times New Roman" w:hAnsi="Times New Roman"/>
          <w:i/>
          <w:color w:val="000000"/>
          <w:sz w:val="20"/>
        </w:rPr>
        <w:t>Id</w:t>
      </w:r>
      <w:r>
        <w:rPr>
          <w:rFonts w:ascii="Times New Roman" w:hAnsi="Times New Roman"/>
          <w:color w:val="000000"/>
          <w:sz w:val="20"/>
        </w:rPr>
        <w:t>. at 32, § IV.L.1. Notably, Markel had another</w:t>
      </w:r>
      <w:r>
        <w:rPr>
          <w:rFonts w:ascii="Times New Roman" w:hAnsi="Times New Roman"/>
          <w:color w:val="000000"/>
          <w:sz w:val="20"/>
        </w:rPr>
        <w:t xml:space="preserve"> breach-of-</w:t>
      </w:r>
      <w:r>
        <w:rPr>
          <w:rFonts w:ascii="Times New Roman" w:hAnsi="Times New Roman"/>
          <w:color w:val="000000"/>
          <w:sz w:val="20"/>
        </w:rPr>
        <w:lastRenderedPageBreak/>
        <w:t xml:space="preserve">contract exclusion using the phrase “based upon, arising out of, or any way involving” that is </w:t>
      </w:r>
      <w:r>
        <w:rPr>
          <w:rFonts w:ascii="Times New Roman" w:hAnsi="Times New Roman"/>
          <w:b/>
          <w:color w:val="000000"/>
          <w:sz w:val="20"/>
        </w:rPr>
        <w:t>not</w:t>
      </w:r>
      <w:r>
        <w:rPr>
          <w:rFonts w:ascii="Times New Roman" w:hAnsi="Times New Roman"/>
          <w:color w:val="000000"/>
          <w:sz w:val="20"/>
        </w:rPr>
        <w:t xml:space="preserve"> in ASSEC's policy. Doc. 34-6 - </w:t>
      </w:r>
      <w:proofErr w:type="spellStart"/>
      <w:r>
        <w:rPr>
          <w:rFonts w:ascii="Times New Roman" w:hAnsi="Times New Roman"/>
          <w:color w:val="000000"/>
          <w:sz w:val="20"/>
        </w:rPr>
        <w:t>Pg</w:t>
      </w:r>
      <w:proofErr w:type="spellEnd"/>
      <w:r>
        <w:rPr>
          <w:rFonts w:ascii="Times New Roman" w:hAnsi="Times New Roman"/>
          <w:color w:val="000000"/>
          <w:sz w:val="20"/>
        </w:rPr>
        <w:t xml:space="preserve"> 99 -102. That version is broader than the Breach of Contract Exclusion in ASSEC's policy. </w:t>
      </w:r>
      <w:r>
        <w:rPr>
          <w:rFonts w:ascii="Times New Roman" w:hAnsi="Times New Roman"/>
          <w:i/>
          <w:color w:val="000000"/>
          <w:sz w:val="20"/>
        </w:rPr>
        <w:t>Id</w:t>
      </w:r>
      <w:r>
        <w:rPr>
          <w:rFonts w:ascii="Times New Roman" w:hAnsi="Times New Roman"/>
          <w:color w:val="000000"/>
          <w:sz w:val="20"/>
        </w:rPr>
        <w:t>. at 101.</w:t>
      </w:r>
    </w:p>
    <w:p w14:paraId="3FBF8FD8" w14:textId="77777777" w:rsidR="00625858" w:rsidRDefault="00AE398F">
      <w:pPr>
        <w:spacing w:after="0" w:line="275" w:lineRule="atLeast"/>
        <w:jc w:val="both"/>
      </w:pPr>
      <w:r>
        <w:rPr>
          <w:rFonts w:ascii="Times New Roman" w:hAnsi="Times New Roman"/>
          <w:color w:val="000000"/>
          <w:sz w:val="20"/>
        </w:rPr>
        <w:t> </w:t>
      </w:r>
    </w:p>
    <w:p w14:paraId="32FE1761" w14:textId="77777777" w:rsidR="00625858" w:rsidRDefault="00AE398F">
      <w:pPr>
        <w:spacing w:after="0" w:line="275" w:lineRule="atLeast"/>
        <w:jc w:val="both"/>
      </w:pPr>
      <w:r>
        <w:rPr>
          <w:rFonts w:ascii="Times New Roman" w:hAnsi="Times New Roman"/>
          <w:color w:val="000000"/>
          <w:sz w:val="20"/>
        </w:rPr>
        <w:t xml:space="preserve">4. </w:t>
      </w:r>
      <w:r>
        <w:rPr>
          <w:rFonts w:ascii="Times New Roman" w:hAnsi="Times New Roman"/>
          <w:i/>
          <w:color w:val="000000"/>
          <w:sz w:val="20"/>
        </w:rPr>
        <w:t>ASSEC</w:t>
      </w:r>
      <w:r>
        <w:rPr>
          <w:rFonts w:ascii="Times New Roman" w:hAnsi="Times New Roman"/>
          <w:i/>
          <w:color w:val="000000"/>
          <w:sz w:val="20"/>
        </w:rPr>
        <w:t xml:space="preserve"> Seeks a Defense from Markel.</w:t>
      </w:r>
    </w:p>
    <w:p w14:paraId="58D3A9C5" w14:textId="77777777" w:rsidR="00625858" w:rsidRDefault="00AE398F">
      <w:pPr>
        <w:spacing w:after="0" w:line="275" w:lineRule="atLeast"/>
        <w:jc w:val="both"/>
      </w:pPr>
      <w:r>
        <w:rPr>
          <w:rFonts w:ascii="Times New Roman" w:hAnsi="Times New Roman"/>
          <w:color w:val="000000"/>
          <w:sz w:val="20"/>
        </w:rPr>
        <w:t> </w:t>
      </w:r>
    </w:p>
    <w:p w14:paraId="4B24D9FC" w14:textId="77777777" w:rsidR="00625858" w:rsidRDefault="00AE398F">
      <w:pPr>
        <w:spacing w:after="0" w:line="275" w:lineRule="atLeast"/>
        <w:jc w:val="both"/>
      </w:pPr>
      <w:r>
        <w:rPr>
          <w:rFonts w:ascii="Times New Roman" w:hAnsi="Times New Roman"/>
          <w:color w:val="000000"/>
          <w:sz w:val="20"/>
        </w:rPr>
        <w:t xml:space="preserve">a. </w:t>
      </w:r>
      <w:r>
        <w:rPr>
          <w:rFonts w:ascii="Times New Roman" w:hAnsi="Times New Roman"/>
          <w:i/>
          <w:color w:val="000000"/>
          <w:sz w:val="20"/>
        </w:rPr>
        <w:t>Markel's Mix-Up</w:t>
      </w:r>
    </w:p>
    <w:p w14:paraId="5FCB7635" w14:textId="77777777" w:rsidR="00625858" w:rsidRDefault="00AE398F">
      <w:pPr>
        <w:spacing w:after="0" w:line="275" w:lineRule="atLeast"/>
        <w:jc w:val="both"/>
      </w:pPr>
      <w:r>
        <w:rPr>
          <w:rFonts w:ascii="Times New Roman" w:hAnsi="Times New Roman"/>
          <w:color w:val="000000"/>
          <w:sz w:val="20"/>
        </w:rPr>
        <w:t> </w:t>
      </w:r>
    </w:p>
    <w:p w14:paraId="1B82AB0B" w14:textId="77777777" w:rsidR="00625858" w:rsidRDefault="00AE398F">
      <w:pPr>
        <w:spacing w:after="0" w:line="275" w:lineRule="atLeast"/>
        <w:jc w:val="both"/>
      </w:pPr>
      <w:r>
        <w:rPr>
          <w:rFonts w:ascii="Times New Roman" w:hAnsi="Times New Roman"/>
          <w:color w:val="000000"/>
          <w:sz w:val="20"/>
        </w:rPr>
        <w:t xml:space="preserve">On January 4, 2018, ASSEC notified Markel of its claim for a defense (the “Claim”). Doc. 34-7. Markel acknowledged the Claim on January 8, 2018, Doc. 34-8, but its records do not evidence any analysis until February 13, 2018, when </w:t>
      </w:r>
      <w:r>
        <w:rPr>
          <w:rFonts w:ascii="Times New Roman" w:hAnsi="Times New Roman"/>
          <w:b/>
          <w:color w:val="000000"/>
          <w:sz w:val="20"/>
        </w:rPr>
        <w:t>*7</w:t>
      </w:r>
      <w:r>
        <w:rPr>
          <w:rFonts w:ascii="Times New Roman" w:hAnsi="Times New Roman"/>
          <w:color w:val="000000"/>
          <w:sz w:val="20"/>
        </w:rPr>
        <w:t xml:space="preserve"> Senior Claims Examiner</w:t>
      </w:r>
      <w:r>
        <w:rPr>
          <w:rFonts w:ascii="Times New Roman" w:hAnsi="Times New Roman"/>
          <w:color w:val="000000"/>
          <w:sz w:val="20"/>
        </w:rPr>
        <w:t xml:space="preserve"> Ryan Hale asked a brand-new temporary worker, Charles Messina, to draft a denial letter. Doc. 34-30 at </w:t>
      </w:r>
      <w:proofErr w:type="spellStart"/>
      <w:r>
        <w:rPr>
          <w:rFonts w:ascii="Times New Roman" w:hAnsi="Times New Roman"/>
          <w:color w:val="000000"/>
          <w:sz w:val="20"/>
        </w:rPr>
        <w:t>Pg</w:t>
      </w:r>
      <w:proofErr w:type="spellEnd"/>
      <w:r>
        <w:rPr>
          <w:rFonts w:ascii="Times New Roman" w:hAnsi="Times New Roman"/>
          <w:color w:val="000000"/>
          <w:sz w:val="20"/>
        </w:rPr>
        <w:t xml:space="preserve"> 53-54 (MAIC 791-792). That same day, Messina drafted a denial patterned on sample letters that included the broad version of the breach-of-contract e</w:t>
      </w:r>
      <w:r>
        <w:rPr>
          <w:rFonts w:ascii="Times New Roman" w:hAnsi="Times New Roman"/>
          <w:color w:val="000000"/>
          <w:sz w:val="20"/>
        </w:rPr>
        <w:t xml:space="preserve">xclusion. Doc. 34-30 - </w:t>
      </w:r>
      <w:proofErr w:type="spellStart"/>
      <w:r>
        <w:rPr>
          <w:rFonts w:ascii="Times New Roman" w:hAnsi="Times New Roman"/>
          <w:color w:val="000000"/>
          <w:sz w:val="20"/>
        </w:rPr>
        <w:t>Pg</w:t>
      </w:r>
      <w:proofErr w:type="spellEnd"/>
      <w:r>
        <w:rPr>
          <w:rFonts w:ascii="Times New Roman" w:hAnsi="Times New Roman"/>
          <w:color w:val="000000"/>
          <w:sz w:val="20"/>
        </w:rPr>
        <w:t xml:space="preserve"> 49, 59, 64 (MAIC 787, 797, 802). An “updated draft” from Messina to Hall also included the wrong version of the exclusion. </w:t>
      </w:r>
      <w:r>
        <w:rPr>
          <w:rFonts w:ascii="Times New Roman" w:hAnsi="Times New Roman"/>
          <w:i/>
          <w:color w:val="000000"/>
          <w:sz w:val="20"/>
        </w:rPr>
        <w:t>Id</w:t>
      </w:r>
      <w:r>
        <w:rPr>
          <w:rFonts w:ascii="Times New Roman" w:hAnsi="Times New Roman"/>
          <w:color w:val="000000"/>
          <w:sz w:val="20"/>
        </w:rPr>
        <w:t>. at 81, 89 (MAIC 819, 827). When Messina raised the mix-up, Hale admitted that Markel “had used ‘based u</w:t>
      </w:r>
      <w:r>
        <w:rPr>
          <w:rFonts w:ascii="Times New Roman" w:hAnsi="Times New Roman"/>
          <w:color w:val="000000"/>
          <w:sz w:val="20"/>
        </w:rPr>
        <w:t xml:space="preserve">pon, arising out of, or in any way involving’ breach of contract language in the coverage analysis, but the actual contract exclusion is ‘for’ breach of contract.” </w:t>
      </w:r>
      <w:r>
        <w:rPr>
          <w:rFonts w:ascii="Times New Roman" w:hAnsi="Times New Roman"/>
          <w:i/>
          <w:color w:val="000000"/>
          <w:sz w:val="20"/>
        </w:rPr>
        <w:t>Id</w:t>
      </w:r>
      <w:r>
        <w:rPr>
          <w:rFonts w:ascii="Times New Roman" w:hAnsi="Times New Roman"/>
          <w:color w:val="000000"/>
          <w:sz w:val="20"/>
        </w:rPr>
        <w:t xml:space="preserve">. at 37 (MAIC Unredacted 0184). Markel never reviewed the MOA or the CAN. Doc. 55 - </w:t>
      </w:r>
      <w:proofErr w:type="spellStart"/>
      <w:r>
        <w:rPr>
          <w:rFonts w:ascii="Times New Roman" w:hAnsi="Times New Roman"/>
          <w:color w:val="000000"/>
          <w:sz w:val="20"/>
        </w:rPr>
        <w:t>Pg</w:t>
      </w:r>
      <w:proofErr w:type="spellEnd"/>
      <w:r>
        <w:rPr>
          <w:rFonts w:ascii="Times New Roman" w:hAnsi="Times New Roman"/>
          <w:color w:val="000000"/>
          <w:sz w:val="20"/>
        </w:rPr>
        <w:t xml:space="preserve"> 12.</w:t>
      </w:r>
    </w:p>
    <w:p w14:paraId="7EE88C06" w14:textId="77777777" w:rsidR="00625858" w:rsidRDefault="00AE398F">
      <w:pPr>
        <w:spacing w:after="0" w:line="275" w:lineRule="atLeast"/>
        <w:jc w:val="both"/>
      </w:pPr>
      <w:r>
        <w:rPr>
          <w:rFonts w:ascii="Times New Roman" w:hAnsi="Times New Roman"/>
          <w:color w:val="000000"/>
          <w:sz w:val="20"/>
        </w:rPr>
        <w:t> </w:t>
      </w:r>
    </w:p>
    <w:p w14:paraId="3A50C9E0" w14:textId="77777777" w:rsidR="00625858" w:rsidRDefault="00AE398F">
      <w:pPr>
        <w:spacing w:after="0" w:line="275" w:lineRule="atLeast"/>
        <w:jc w:val="both"/>
      </w:pPr>
      <w:r>
        <w:rPr>
          <w:rFonts w:ascii="Times New Roman" w:hAnsi="Times New Roman"/>
          <w:color w:val="000000"/>
          <w:sz w:val="20"/>
        </w:rPr>
        <w:t xml:space="preserve">b. </w:t>
      </w:r>
      <w:r>
        <w:rPr>
          <w:rFonts w:ascii="Times New Roman" w:hAnsi="Times New Roman"/>
          <w:i/>
          <w:color w:val="000000"/>
          <w:sz w:val="20"/>
        </w:rPr>
        <w:t>The Denial Letter</w:t>
      </w:r>
    </w:p>
    <w:p w14:paraId="485D6E6A" w14:textId="77777777" w:rsidR="00625858" w:rsidRDefault="00AE398F">
      <w:pPr>
        <w:spacing w:after="0" w:line="275" w:lineRule="atLeast"/>
        <w:jc w:val="both"/>
      </w:pPr>
      <w:r>
        <w:rPr>
          <w:rFonts w:ascii="Times New Roman" w:hAnsi="Times New Roman"/>
          <w:color w:val="000000"/>
          <w:sz w:val="20"/>
        </w:rPr>
        <w:t> </w:t>
      </w:r>
    </w:p>
    <w:p w14:paraId="4361C2C2" w14:textId="77777777" w:rsidR="00625858" w:rsidRDefault="00AE398F">
      <w:pPr>
        <w:spacing w:after="0" w:line="275" w:lineRule="atLeast"/>
        <w:jc w:val="both"/>
      </w:pPr>
      <w:r>
        <w:rPr>
          <w:rFonts w:ascii="Times New Roman" w:hAnsi="Times New Roman"/>
          <w:color w:val="000000"/>
          <w:sz w:val="20"/>
        </w:rPr>
        <w:t xml:space="preserve">ASSEC received Markel's denial letter around February 20, 2018. Doc. 34-9. Markel acknowledged that ASSEC had established a Claim first made and reported during the Policy Period. </w:t>
      </w:r>
      <w:r>
        <w:rPr>
          <w:rFonts w:ascii="Times New Roman" w:hAnsi="Times New Roman"/>
          <w:i/>
          <w:color w:val="000000"/>
          <w:sz w:val="20"/>
        </w:rPr>
        <w:t>Id</w:t>
      </w:r>
      <w:r>
        <w:rPr>
          <w:rFonts w:ascii="Times New Roman" w:hAnsi="Times New Roman"/>
          <w:color w:val="000000"/>
          <w:sz w:val="20"/>
        </w:rPr>
        <w:t>. at 11. However, Markel stated that coverage wa</w:t>
      </w:r>
      <w:r>
        <w:rPr>
          <w:rFonts w:ascii="Times New Roman" w:hAnsi="Times New Roman"/>
          <w:color w:val="000000"/>
          <w:sz w:val="20"/>
        </w:rPr>
        <w:t xml:space="preserve">s precluded “in its entirety” by the Breach of Contract Exclusion. </w:t>
      </w:r>
      <w:r>
        <w:rPr>
          <w:rFonts w:ascii="Times New Roman" w:hAnsi="Times New Roman"/>
          <w:i/>
          <w:color w:val="000000"/>
          <w:sz w:val="20"/>
        </w:rPr>
        <w:t>Id</w:t>
      </w:r>
      <w:r>
        <w:rPr>
          <w:rFonts w:ascii="Times New Roman" w:hAnsi="Times New Roman"/>
          <w:color w:val="000000"/>
          <w:sz w:val="20"/>
        </w:rPr>
        <w:t>. Of the seventy-seven paragraphs of allegations in the Statement of Claim, Markel only referenced one - Space Race's characterization of its claim as a “straightforward breach of contrac</w:t>
      </w:r>
      <w:r>
        <w:rPr>
          <w:rFonts w:ascii="Times New Roman" w:hAnsi="Times New Roman"/>
          <w:color w:val="000000"/>
          <w:sz w:val="20"/>
        </w:rPr>
        <w:t xml:space="preserve">t...” </w:t>
      </w:r>
      <w:r>
        <w:rPr>
          <w:rFonts w:ascii="Times New Roman" w:hAnsi="Times New Roman"/>
          <w:i/>
          <w:color w:val="000000"/>
          <w:sz w:val="20"/>
        </w:rPr>
        <w:t>Id</w:t>
      </w:r>
      <w:r>
        <w:rPr>
          <w:rFonts w:ascii="Times New Roman" w:hAnsi="Times New Roman"/>
          <w:color w:val="000000"/>
          <w:sz w:val="20"/>
        </w:rPr>
        <w:t xml:space="preserve">. Markel also stated that a </w:t>
      </w:r>
      <w:r>
        <w:rPr>
          <w:rFonts w:ascii="Times New Roman" w:hAnsi="Times New Roman"/>
          <w:i/>
          <w:color w:val="000000"/>
          <w:sz w:val="20"/>
        </w:rPr>
        <w:t>quantum meruit</w:t>
      </w:r>
      <w:r>
        <w:rPr>
          <w:rFonts w:ascii="Times New Roman" w:hAnsi="Times New Roman"/>
          <w:color w:val="000000"/>
          <w:sz w:val="20"/>
        </w:rPr>
        <w:t xml:space="preserve"> award for services rendered was not covered “Loss” because the definition of “Loss” excluded </w:t>
      </w:r>
      <w:r>
        <w:rPr>
          <w:rFonts w:ascii="Times New Roman" w:hAnsi="Times New Roman"/>
          <w:b/>
          <w:color w:val="000000"/>
          <w:sz w:val="20"/>
        </w:rPr>
        <w:t>*8</w:t>
      </w:r>
      <w:r>
        <w:rPr>
          <w:rFonts w:ascii="Times New Roman" w:hAnsi="Times New Roman"/>
          <w:color w:val="000000"/>
          <w:sz w:val="20"/>
        </w:rPr>
        <w:t xml:space="preserve"> “disgorgement or restitution of ill-gotten gain...” </w:t>
      </w:r>
      <w:r>
        <w:rPr>
          <w:rFonts w:ascii="Times New Roman" w:hAnsi="Times New Roman"/>
          <w:i/>
          <w:color w:val="000000"/>
          <w:sz w:val="20"/>
        </w:rPr>
        <w:t>Id</w:t>
      </w:r>
      <w:r>
        <w:rPr>
          <w:rFonts w:ascii="Times New Roman" w:hAnsi="Times New Roman"/>
          <w:color w:val="000000"/>
          <w:sz w:val="20"/>
        </w:rPr>
        <w:t>. The denial letter included all bases for Markel's den</w:t>
      </w:r>
      <w:r>
        <w:rPr>
          <w:rFonts w:ascii="Times New Roman" w:hAnsi="Times New Roman"/>
          <w:color w:val="000000"/>
          <w:sz w:val="20"/>
        </w:rPr>
        <w:t xml:space="preserve">ial of coverage. Doc. 34-6 - </w:t>
      </w:r>
      <w:proofErr w:type="spellStart"/>
      <w:r>
        <w:rPr>
          <w:rFonts w:ascii="Times New Roman" w:hAnsi="Times New Roman"/>
          <w:color w:val="000000"/>
          <w:sz w:val="20"/>
        </w:rPr>
        <w:t>Pg</w:t>
      </w:r>
      <w:proofErr w:type="spellEnd"/>
      <w:r>
        <w:rPr>
          <w:rFonts w:ascii="Times New Roman" w:hAnsi="Times New Roman"/>
          <w:color w:val="000000"/>
          <w:sz w:val="20"/>
        </w:rPr>
        <w:t xml:space="preserve"> 74.</w:t>
      </w:r>
    </w:p>
    <w:p w14:paraId="187955AF" w14:textId="77777777" w:rsidR="00625858" w:rsidRDefault="00AE398F">
      <w:pPr>
        <w:spacing w:after="0" w:line="275" w:lineRule="atLeast"/>
        <w:jc w:val="both"/>
      </w:pPr>
      <w:r>
        <w:rPr>
          <w:rFonts w:ascii="Times New Roman" w:hAnsi="Times New Roman"/>
          <w:color w:val="000000"/>
          <w:sz w:val="20"/>
        </w:rPr>
        <w:t> </w:t>
      </w:r>
    </w:p>
    <w:p w14:paraId="01D8DFD0" w14:textId="77777777" w:rsidR="00625858" w:rsidRDefault="00AE398F">
      <w:pPr>
        <w:spacing w:after="0" w:line="275" w:lineRule="atLeast"/>
        <w:jc w:val="both"/>
      </w:pPr>
      <w:r>
        <w:rPr>
          <w:rFonts w:ascii="Times New Roman" w:hAnsi="Times New Roman"/>
          <w:color w:val="000000"/>
          <w:sz w:val="20"/>
        </w:rPr>
        <w:t>On June 21, 2018, ASSEC's counsel called Hale to request reconsideration, followed by letters on August 3, 2018 and September 12, 2018, and copies of the post-arbitration briefs. Docs. 34-11, 34-12. Markel did not resp</w:t>
      </w:r>
      <w:r>
        <w:rPr>
          <w:rFonts w:ascii="Times New Roman" w:hAnsi="Times New Roman"/>
          <w:color w:val="000000"/>
          <w:sz w:val="20"/>
        </w:rPr>
        <w:t xml:space="preserve">ond until after the arbitration panel rendered its decision and ASSEC filed suit. Doc. 34-14 - </w:t>
      </w:r>
      <w:proofErr w:type="spellStart"/>
      <w:r>
        <w:rPr>
          <w:rFonts w:ascii="Times New Roman" w:hAnsi="Times New Roman"/>
          <w:color w:val="000000"/>
          <w:sz w:val="20"/>
        </w:rPr>
        <w:t>Pg</w:t>
      </w:r>
      <w:proofErr w:type="spellEnd"/>
      <w:r>
        <w:rPr>
          <w:rFonts w:ascii="Times New Roman" w:hAnsi="Times New Roman"/>
          <w:color w:val="000000"/>
          <w:sz w:val="20"/>
        </w:rPr>
        <w:t xml:space="preserve"> 3.</w:t>
      </w:r>
    </w:p>
    <w:p w14:paraId="780EDBBE" w14:textId="77777777" w:rsidR="00625858" w:rsidRDefault="00AE398F">
      <w:pPr>
        <w:spacing w:after="0" w:line="275" w:lineRule="atLeast"/>
        <w:jc w:val="both"/>
      </w:pPr>
      <w:r>
        <w:rPr>
          <w:rFonts w:ascii="Times New Roman" w:hAnsi="Times New Roman"/>
          <w:color w:val="000000"/>
          <w:sz w:val="20"/>
        </w:rPr>
        <w:t> </w:t>
      </w:r>
    </w:p>
    <w:p w14:paraId="6D10F62B" w14:textId="77777777" w:rsidR="00625858" w:rsidRDefault="00AE398F">
      <w:pPr>
        <w:spacing w:after="0" w:line="275" w:lineRule="atLeast"/>
        <w:jc w:val="both"/>
      </w:pPr>
      <w:r>
        <w:rPr>
          <w:rFonts w:ascii="Times New Roman" w:hAnsi="Times New Roman"/>
          <w:color w:val="000000"/>
          <w:sz w:val="20"/>
        </w:rPr>
        <w:t xml:space="preserve">5. </w:t>
      </w:r>
      <w:r>
        <w:rPr>
          <w:rFonts w:ascii="Times New Roman" w:hAnsi="Times New Roman"/>
          <w:i/>
          <w:color w:val="000000"/>
          <w:sz w:val="20"/>
        </w:rPr>
        <w:t>The Arbitration Award</w:t>
      </w:r>
    </w:p>
    <w:p w14:paraId="3EC0C0FD" w14:textId="77777777" w:rsidR="00625858" w:rsidRDefault="00AE398F">
      <w:pPr>
        <w:spacing w:after="0" w:line="275" w:lineRule="atLeast"/>
        <w:jc w:val="both"/>
      </w:pPr>
      <w:r>
        <w:rPr>
          <w:rFonts w:ascii="Times New Roman" w:hAnsi="Times New Roman"/>
          <w:color w:val="000000"/>
          <w:sz w:val="20"/>
        </w:rPr>
        <w:t> </w:t>
      </w:r>
    </w:p>
    <w:p w14:paraId="03B87D02" w14:textId="77777777" w:rsidR="00625858" w:rsidRDefault="00AE398F">
      <w:pPr>
        <w:spacing w:after="0" w:line="275" w:lineRule="atLeast"/>
        <w:jc w:val="both"/>
      </w:pPr>
      <w:r>
        <w:rPr>
          <w:rFonts w:ascii="Times New Roman" w:hAnsi="Times New Roman"/>
          <w:color w:val="000000"/>
          <w:sz w:val="20"/>
        </w:rPr>
        <w:t>On November 13, 2018, the arbitration panel issued its award in favor of Space Race. Doc. 34-13. The panel discussed its three</w:t>
      </w:r>
      <w:r>
        <w:rPr>
          <w:rFonts w:ascii="Times New Roman" w:hAnsi="Times New Roman"/>
          <w:color w:val="000000"/>
          <w:sz w:val="20"/>
        </w:rPr>
        <w:t xml:space="preserve"> independent bases for liability: (1) breaching the MOA, by failing to try to resolve the dispute under the dispute resolution clause; (2) breaching the CAN, by failing to submit periodic reports to NASA; and (3) causing Space Race to lose the unreleased f</w:t>
      </w:r>
      <w:r>
        <w:rPr>
          <w:rFonts w:ascii="Times New Roman" w:hAnsi="Times New Roman"/>
          <w:color w:val="000000"/>
          <w:sz w:val="20"/>
        </w:rPr>
        <w:t xml:space="preserve">unding from NASA, by committing numerous wrongful acts. Doc. 34-13 - </w:t>
      </w:r>
      <w:proofErr w:type="spellStart"/>
      <w:r>
        <w:rPr>
          <w:rFonts w:ascii="Times New Roman" w:hAnsi="Times New Roman"/>
          <w:color w:val="000000"/>
          <w:sz w:val="20"/>
        </w:rPr>
        <w:t>Pg</w:t>
      </w:r>
      <w:proofErr w:type="spellEnd"/>
      <w:r>
        <w:rPr>
          <w:rFonts w:ascii="Times New Roman" w:hAnsi="Times New Roman"/>
          <w:color w:val="000000"/>
          <w:sz w:val="20"/>
        </w:rPr>
        <w:t xml:space="preserve"> 12 - 16. The panel ordered ASSEC to pay Space Race $1,365,582, “representing” the funding Space Race would have received from NASA, plus pre-award interest. </w:t>
      </w:r>
      <w:r>
        <w:rPr>
          <w:rFonts w:ascii="Times New Roman" w:hAnsi="Times New Roman"/>
          <w:i/>
          <w:color w:val="000000"/>
          <w:sz w:val="20"/>
        </w:rPr>
        <w:t>Id</w:t>
      </w:r>
      <w:r>
        <w:rPr>
          <w:rFonts w:ascii="Times New Roman" w:hAnsi="Times New Roman"/>
          <w:color w:val="000000"/>
          <w:sz w:val="20"/>
        </w:rPr>
        <w:t>. at 17.</w:t>
      </w:r>
    </w:p>
    <w:p w14:paraId="57A07A0F" w14:textId="77777777" w:rsidR="00625858" w:rsidRDefault="00AE398F">
      <w:pPr>
        <w:spacing w:after="0" w:line="275" w:lineRule="atLeast"/>
        <w:jc w:val="both"/>
      </w:pPr>
      <w:r>
        <w:rPr>
          <w:rFonts w:ascii="Times New Roman" w:hAnsi="Times New Roman"/>
          <w:color w:val="000000"/>
          <w:sz w:val="20"/>
        </w:rPr>
        <w:t> </w:t>
      </w:r>
    </w:p>
    <w:p w14:paraId="42778477" w14:textId="77777777" w:rsidR="00625858" w:rsidRDefault="00AE398F">
      <w:pPr>
        <w:spacing w:after="0" w:line="275" w:lineRule="atLeast"/>
        <w:jc w:val="both"/>
      </w:pPr>
      <w:r>
        <w:rPr>
          <w:rFonts w:ascii="Times New Roman" w:hAnsi="Times New Roman"/>
          <w:color w:val="000000"/>
          <w:sz w:val="20"/>
        </w:rPr>
        <w:t xml:space="preserve">6. </w:t>
      </w:r>
      <w:r>
        <w:rPr>
          <w:rFonts w:ascii="Times New Roman" w:hAnsi="Times New Roman"/>
          <w:i/>
          <w:color w:val="000000"/>
          <w:sz w:val="20"/>
        </w:rPr>
        <w:t>The Judicia</w:t>
      </w:r>
      <w:r>
        <w:rPr>
          <w:rFonts w:ascii="Times New Roman" w:hAnsi="Times New Roman"/>
          <w:i/>
          <w:color w:val="000000"/>
          <w:sz w:val="20"/>
        </w:rPr>
        <w:t>ry Act Claim</w:t>
      </w:r>
    </w:p>
    <w:p w14:paraId="7E219C19" w14:textId="77777777" w:rsidR="00625858" w:rsidRDefault="00AE398F">
      <w:pPr>
        <w:spacing w:after="0" w:line="275" w:lineRule="atLeast"/>
        <w:jc w:val="both"/>
      </w:pPr>
      <w:r>
        <w:rPr>
          <w:rFonts w:ascii="Times New Roman" w:hAnsi="Times New Roman"/>
          <w:color w:val="000000"/>
          <w:sz w:val="20"/>
        </w:rPr>
        <w:t> </w:t>
      </w:r>
    </w:p>
    <w:p w14:paraId="6A6E673C" w14:textId="77777777" w:rsidR="00625858" w:rsidRDefault="00AE398F">
      <w:pPr>
        <w:spacing w:after="0" w:line="275" w:lineRule="atLeast"/>
        <w:jc w:val="both"/>
      </w:pPr>
      <w:r>
        <w:rPr>
          <w:rFonts w:ascii="Times New Roman" w:hAnsi="Times New Roman"/>
          <w:color w:val="000000"/>
          <w:sz w:val="20"/>
        </w:rPr>
        <w:t xml:space="preserve">In June 2019, Space Race filed a complaint alleging fraud and a violation of the New York Judiciary Act against ASSEC, Dr. Barnhart, ASSEC's CFO, and ASSEC's attorneys in the New York Supreme Court (“the Judiciary Act Claim”). Doc. 16 - </w:t>
      </w:r>
      <w:proofErr w:type="spellStart"/>
      <w:r>
        <w:rPr>
          <w:rFonts w:ascii="Times New Roman" w:hAnsi="Times New Roman"/>
          <w:color w:val="000000"/>
          <w:sz w:val="20"/>
        </w:rPr>
        <w:t>Pg</w:t>
      </w:r>
      <w:proofErr w:type="spellEnd"/>
      <w:r>
        <w:rPr>
          <w:rFonts w:ascii="Times New Roman" w:hAnsi="Times New Roman"/>
          <w:color w:val="000000"/>
          <w:sz w:val="20"/>
        </w:rPr>
        <w:t xml:space="preserve"> 5</w:t>
      </w:r>
      <w:r>
        <w:rPr>
          <w:rFonts w:ascii="Times New Roman" w:hAnsi="Times New Roman"/>
          <w:color w:val="000000"/>
          <w:sz w:val="20"/>
        </w:rPr>
        <w:t xml:space="preserve">, ¶18. Markel defended under a reservation of </w:t>
      </w:r>
      <w:proofErr w:type="gramStart"/>
      <w:r>
        <w:rPr>
          <w:rFonts w:ascii="Times New Roman" w:hAnsi="Times New Roman"/>
          <w:color w:val="000000"/>
          <w:sz w:val="20"/>
        </w:rPr>
        <w:t>rights, but</w:t>
      </w:r>
      <w:proofErr w:type="gramEnd"/>
      <w:r>
        <w:rPr>
          <w:rFonts w:ascii="Times New Roman" w:hAnsi="Times New Roman"/>
          <w:color w:val="000000"/>
          <w:sz w:val="20"/>
        </w:rPr>
        <w:t xml:space="preserve"> filed a </w:t>
      </w:r>
      <w:r>
        <w:rPr>
          <w:rFonts w:ascii="Times New Roman" w:hAnsi="Times New Roman"/>
          <w:b/>
          <w:color w:val="000000"/>
          <w:sz w:val="20"/>
        </w:rPr>
        <w:t>*9</w:t>
      </w:r>
      <w:r>
        <w:rPr>
          <w:rFonts w:ascii="Times New Roman" w:hAnsi="Times New Roman"/>
          <w:color w:val="000000"/>
          <w:sz w:val="20"/>
        </w:rPr>
        <w:t xml:space="preserve"> Counterclaim and Third-Party Complaint in this action, </w:t>
      </w:r>
      <w:r>
        <w:rPr>
          <w:rFonts w:ascii="Times New Roman" w:hAnsi="Times New Roman"/>
          <w:color w:val="000000"/>
          <w:sz w:val="20"/>
        </w:rPr>
        <w:lastRenderedPageBreak/>
        <w:t xml:space="preserve">arguing that the “Judiciary Act Claim </w:t>
      </w:r>
      <w:r>
        <w:rPr>
          <w:rFonts w:ascii="Times New Roman" w:hAnsi="Times New Roman"/>
          <w:i/>
          <w:color w:val="000000"/>
          <w:sz w:val="20"/>
        </w:rPr>
        <w:t>arises from</w:t>
      </w:r>
      <w:r>
        <w:rPr>
          <w:rFonts w:ascii="Times New Roman" w:hAnsi="Times New Roman"/>
          <w:color w:val="000000"/>
          <w:sz w:val="20"/>
        </w:rPr>
        <w:t xml:space="preserve"> the breach of contract asserted in the Arbitration Claim, which Markel argued forf</w:t>
      </w:r>
      <w:r>
        <w:rPr>
          <w:rFonts w:ascii="Times New Roman" w:hAnsi="Times New Roman"/>
          <w:color w:val="000000"/>
          <w:sz w:val="20"/>
        </w:rPr>
        <w:t>eited all coverage.</w:t>
      </w:r>
      <w:bookmarkStart w:id="0" w:name="co_tablefootnote_1_1"/>
      <w:r>
        <w:fldChar w:fldCharType="begin"/>
      </w:r>
      <w:r>
        <w:instrText xml:space="preserve"> HYPERLINK \l "co_tablefootnoteblock_1_1" \h </w:instrText>
      </w:r>
      <w:r>
        <w:fldChar w:fldCharType="separate"/>
      </w:r>
      <w:r>
        <w:rPr>
          <w:rFonts w:ascii="Times New Roman" w:hAnsi="Times New Roman"/>
          <w:color w:val="0E568C"/>
          <w:sz w:val="16"/>
          <w:vertAlign w:val="superscript"/>
        </w:rPr>
        <w:t>1</w:t>
      </w:r>
      <w:r>
        <w:rPr>
          <w:rFonts w:ascii="Times New Roman" w:hAnsi="Times New Roman"/>
          <w:color w:val="0E568C"/>
          <w:sz w:val="16"/>
          <w:vertAlign w:val="superscript"/>
        </w:rPr>
        <w:fldChar w:fldCharType="end"/>
      </w:r>
      <w:bookmarkEnd w:id="0"/>
      <w:r>
        <w:rPr>
          <w:rFonts w:ascii="Times New Roman" w:hAnsi="Times New Roman"/>
          <w:color w:val="000000"/>
          <w:sz w:val="20"/>
        </w:rPr>
        <w:t xml:space="preserve"> </w:t>
      </w:r>
      <w:r>
        <w:rPr>
          <w:rFonts w:ascii="Times New Roman" w:hAnsi="Times New Roman"/>
          <w:i/>
          <w:color w:val="000000"/>
          <w:sz w:val="20"/>
        </w:rPr>
        <w:t>Id</w:t>
      </w:r>
      <w:r>
        <w:rPr>
          <w:rFonts w:ascii="Times New Roman" w:hAnsi="Times New Roman"/>
          <w:color w:val="000000"/>
          <w:sz w:val="20"/>
        </w:rPr>
        <w:t>. at 14, ¶44 (emphasis added).</w:t>
      </w:r>
    </w:p>
    <w:p w14:paraId="287B6840" w14:textId="77777777" w:rsidR="00625858" w:rsidRDefault="00AE398F">
      <w:pPr>
        <w:spacing w:after="0" w:line="275" w:lineRule="atLeast"/>
        <w:jc w:val="both"/>
      </w:pPr>
      <w:r>
        <w:rPr>
          <w:rFonts w:ascii="Times New Roman" w:hAnsi="Times New Roman"/>
          <w:color w:val="000000"/>
          <w:sz w:val="20"/>
        </w:rPr>
        <w:t> </w:t>
      </w:r>
    </w:p>
    <w:p w14:paraId="215B37F8" w14:textId="77777777" w:rsidR="00625858" w:rsidRDefault="00AE398F">
      <w:pPr>
        <w:spacing w:before="400" w:after="0" w:line="275" w:lineRule="atLeast"/>
        <w:jc w:val="both"/>
      </w:pPr>
      <w:r>
        <w:rPr>
          <w:rFonts w:ascii="Times New Roman" w:hAnsi="Times New Roman"/>
          <w:b/>
          <w:color w:val="000000"/>
          <w:sz w:val="20"/>
        </w:rPr>
        <w:t xml:space="preserve">B. </w:t>
      </w:r>
      <w:r>
        <w:rPr>
          <w:rFonts w:ascii="Times New Roman" w:hAnsi="Times New Roman"/>
          <w:b/>
          <w:i/>
          <w:color w:val="000000"/>
          <w:sz w:val="20"/>
        </w:rPr>
        <w:t>Course of Proceedings</w:t>
      </w:r>
    </w:p>
    <w:p w14:paraId="437EDAF8" w14:textId="77777777" w:rsidR="00625858" w:rsidRDefault="00AE398F">
      <w:pPr>
        <w:spacing w:after="0" w:line="275" w:lineRule="atLeast"/>
        <w:jc w:val="both"/>
      </w:pPr>
      <w:r>
        <w:rPr>
          <w:rFonts w:ascii="Times New Roman" w:hAnsi="Times New Roman"/>
          <w:color w:val="000000"/>
          <w:sz w:val="20"/>
        </w:rPr>
        <w:t> </w:t>
      </w:r>
    </w:p>
    <w:p w14:paraId="74A32692" w14:textId="77777777" w:rsidR="00625858" w:rsidRDefault="00AE398F">
      <w:pPr>
        <w:spacing w:after="0" w:line="275" w:lineRule="atLeast"/>
        <w:jc w:val="both"/>
      </w:pPr>
      <w:r>
        <w:rPr>
          <w:rFonts w:ascii="Times New Roman" w:hAnsi="Times New Roman"/>
          <w:color w:val="000000"/>
          <w:sz w:val="20"/>
        </w:rPr>
        <w:t xml:space="preserve">On March 20, 2019, ASSEC filed suit against Markel in Alabama state court. Doc. 1-1. Markel removed the action to the </w:t>
      </w:r>
      <w:r>
        <w:rPr>
          <w:rFonts w:ascii="Times New Roman" w:hAnsi="Times New Roman"/>
          <w:color w:val="000000"/>
          <w:sz w:val="20"/>
        </w:rPr>
        <w:t>Northern District of Alabama on April 18, 2019. Doc. 1. On November 30, 2020, both parties moved for summary judgment. Docs. 33, 36.</w:t>
      </w:r>
    </w:p>
    <w:p w14:paraId="320B9E02" w14:textId="77777777" w:rsidR="00625858" w:rsidRDefault="00AE398F">
      <w:pPr>
        <w:spacing w:after="0" w:line="275" w:lineRule="atLeast"/>
        <w:jc w:val="both"/>
      </w:pPr>
      <w:r>
        <w:rPr>
          <w:rFonts w:ascii="Times New Roman" w:hAnsi="Times New Roman"/>
          <w:color w:val="000000"/>
          <w:sz w:val="20"/>
        </w:rPr>
        <w:t> </w:t>
      </w:r>
    </w:p>
    <w:p w14:paraId="02B98D05" w14:textId="77777777" w:rsidR="00625858" w:rsidRDefault="00AE398F">
      <w:pPr>
        <w:spacing w:after="0" w:line="275" w:lineRule="atLeast"/>
        <w:jc w:val="both"/>
      </w:pPr>
      <w:r>
        <w:rPr>
          <w:rFonts w:ascii="Times New Roman" w:hAnsi="Times New Roman"/>
          <w:color w:val="000000"/>
          <w:sz w:val="20"/>
        </w:rPr>
        <w:t>On August 30, 2021, the District Court granted summary judgment for Markel, denied ASSEC's motion, and dismissed the case</w:t>
      </w:r>
      <w:r>
        <w:rPr>
          <w:rFonts w:ascii="Times New Roman" w:hAnsi="Times New Roman"/>
          <w:color w:val="000000"/>
          <w:sz w:val="20"/>
        </w:rPr>
        <w:t xml:space="preserve">. Doc. 55. The court found Space Race alleged “misleading statements” and “instances of neglect” that stopped NASA from providing more funding, but it held </w:t>
      </w:r>
      <w:proofErr w:type="gramStart"/>
      <w:r>
        <w:rPr>
          <w:rFonts w:ascii="Times New Roman" w:hAnsi="Times New Roman"/>
          <w:color w:val="000000"/>
          <w:sz w:val="20"/>
        </w:rPr>
        <w:t>all of</w:t>
      </w:r>
      <w:proofErr w:type="gramEnd"/>
      <w:r>
        <w:rPr>
          <w:rFonts w:ascii="Times New Roman" w:hAnsi="Times New Roman"/>
          <w:color w:val="000000"/>
          <w:sz w:val="20"/>
        </w:rPr>
        <w:t xml:space="preserve"> the allegations were excluded because they “related to” the MOA. The court also held there wa</w:t>
      </w:r>
      <w:r>
        <w:rPr>
          <w:rFonts w:ascii="Times New Roman" w:hAnsi="Times New Roman"/>
          <w:color w:val="000000"/>
          <w:sz w:val="20"/>
        </w:rPr>
        <w:t xml:space="preserve">s no </w:t>
      </w:r>
      <w:r>
        <w:rPr>
          <w:rFonts w:ascii="Times New Roman" w:hAnsi="Times New Roman"/>
          <w:i/>
          <w:color w:val="000000"/>
          <w:sz w:val="20"/>
        </w:rPr>
        <w:t>quantum meruit</w:t>
      </w:r>
      <w:r>
        <w:rPr>
          <w:rFonts w:ascii="Times New Roman" w:hAnsi="Times New Roman"/>
          <w:color w:val="000000"/>
          <w:sz w:val="20"/>
        </w:rPr>
        <w:t xml:space="preserve"> claim because the MOA addressed the same subject. </w:t>
      </w:r>
      <w:r>
        <w:rPr>
          <w:rFonts w:ascii="Times New Roman" w:hAnsi="Times New Roman"/>
          <w:i/>
          <w:color w:val="000000"/>
          <w:sz w:val="20"/>
        </w:rPr>
        <w:t>Id</w:t>
      </w:r>
      <w:r>
        <w:rPr>
          <w:rFonts w:ascii="Times New Roman" w:hAnsi="Times New Roman"/>
          <w:color w:val="000000"/>
          <w:sz w:val="20"/>
        </w:rPr>
        <w:t>. at 10, 21, 23-24.</w:t>
      </w:r>
    </w:p>
    <w:p w14:paraId="2363A793" w14:textId="77777777" w:rsidR="00625858" w:rsidRDefault="00AE398F">
      <w:pPr>
        <w:spacing w:after="0" w:line="275" w:lineRule="atLeast"/>
        <w:jc w:val="both"/>
      </w:pPr>
      <w:r>
        <w:rPr>
          <w:rFonts w:ascii="Times New Roman" w:hAnsi="Times New Roman"/>
          <w:color w:val="000000"/>
          <w:sz w:val="20"/>
        </w:rPr>
        <w:t> </w:t>
      </w:r>
    </w:p>
    <w:p w14:paraId="41207311" w14:textId="77777777" w:rsidR="00625858" w:rsidRDefault="00AE398F">
      <w:pPr>
        <w:spacing w:after="0" w:line="275" w:lineRule="atLeast"/>
        <w:jc w:val="both"/>
      </w:pPr>
      <w:r>
        <w:rPr>
          <w:rFonts w:ascii="Times New Roman" w:hAnsi="Times New Roman"/>
          <w:b/>
          <w:color w:val="000000"/>
          <w:sz w:val="20"/>
        </w:rPr>
        <w:t xml:space="preserve">C. </w:t>
      </w:r>
      <w:r>
        <w:rPr>
          <w:rFonts w:ascii="Times New Roman" w:hAnsi="Times New Roman"/>
          <w:b/>
          <w:i/>
          <w:color w:val="000000"/>
          <w:sz w:val="20"/>
        </w:rPr>
        <w:t>Standard of Review</w:t>
      </w:r>
    </w:p>
    <w:p w14:paraId="14EB3AA8" w14:textId="77777777" w:rsidR="00625858" w:rsidRDefault="00AE398F">
      <w:pPr>
        <w:spacing w:after="0" w:line="275" w:lineRule="atLeast"/>
        <w:jc w:val="both"/>
      </w:pPr>
      <w:r>
        <w:rPr>
          <w:rFonts w:ascii="Times New Roman" w:hAnsi="Times New Roman"/>
          <w:color w:val="000000"/>
          <w:sz w:val="20"/>
        </w:rPr>
        <w:t> </w:t>
      </w:r>
    </w:p>
    <w:p w14:paraId="1F35EC97" w14:textId="06468A76" w:rsidR="00625858" w:rsidRDefault="00AE398F">
      <w:pPr>
        <w:spacing w:after="0" w:line="275" w:lineRule="atLeast"/>
        <w:jc w:val="both"/>
      </w:pPr>
      <w:r>
        <w:rPr>
          <w:rFonts w:ascii="Times New Roman" w:hAnsi="Times New Roman"/>
          <w:color w:val="000000"/>
          <w:sz w:val="20"/>
        </w:rPr>
        <w:t xml:space="preserve">This Court reviews the decision to grant or deny summary judgment </w:t>
      </w:r>
      <w:r>
        <w:rPr>
          <w:rFonts w:ascii="Times New Roman" w:hAnsi="Times New Roman"/>
          <w:i/>
          <w:color w:val="000000"/>
          <w:sz w:val="20"/>
        </w:rPr>
        <w:t>de novo</w:t>
      </w:r>
      <w:r>
        <w:rPr>
          <w:rFonts w:ascii="Times New Roman" w:hAnsi="Times New Roman"/>
          <w:color w:val="000000"/>
          <w:sz w:val="20"/>
        </w:rPr>
        <w:t xml:space="preserve">. </w:t>
      </w:r>
      <w:r>
        <w:rPr>
          <w:rFonts w:ascii="Times New Roman" w:hAnsi="Times New Roman"/>
          <w:color w:val="000000"/>
          <w:sz w:val="20"/>
        </w:rPr>
        <w:t xml:space="preserve">The Court applies the same standard as the district court, </w:t>
      </w:r>
      <w:r>
        <w:rPr>
          <w:rFonts w:ascii="Times New Roman" w:hAnsi="Times New Roman"/>
          <w:i/>
          <w:color w:val="000000"/>
          <w:sz w:val="20"/>
        </w:rPr>
        <w:t>i.e.</w:t>
      </w:r>
      <w:r>
        <w:rPr>
          <w:rFonts w:ascii="Times New Roman" w:hAnsi="Times New Roman"/>
          <w:color w:val="000000"/>
          <w:sz w:val="20"/>
        </w:rPr>
        <w:t xml:space="preserve">, whether </w:t>
      </w:r>
      <w:r>
        <w:rPr>
          <w:rFonts w:ascii="Times New Roman" w:hAnsi="Times New Roman"/>
          <w:b/>
          <w:color w:val="000000"/>
          <w:sz w:val="20"/>
        </w:rPr>
        <w:t>*10</w:t>
      </w:r>
      <w:r>
        <w:rPr>
          <w:rFonts w:ascii="Times New Roman" w:hAnsi="Times New Roman"/>
          <w:color w:val="000000"/>
          <w:sz w:val="20"/>
        </w:rPr>
        <w:t xml:space="preserve"> the moving party established it wa</w:t>
      </w:r>
      <w:r>
        <w:rPr>
          <w:rFonts w:ascii="Times New Roman" w:hAnsi="Times New Roman"/>
          <w:color w:val="000000"/>
          <w:sz w:val="20"/>
        </w:rPr>
        <w:t xml:space="preserve">s “entitled to judgment as a matter of law.” </w:t>
      </w:r>
    </w:p>
    <w:p w14:paraId="72C2211D" w14:textId="77777777" w:rsidR="00625858" w:rsidRDefault="00AE398F">
      <w:pPr>
        <w:spacing w:after="0" w:line="275" w:lineRule="atLeast"/>
        <w:jc w:val="both"/>
      </w:pPr>
      <w:r>
        <w:rPr>
          <w:rFonts w:ascii="Times New Roman" w:hAnsi="Times New Roman"/>
          <w:color w:val="000000"/>
          <w:sz w:val="20"/>
        </w:rPr>
        <w:t> </w:t>
      </w:r>
    </w:p>
    <w:p w14:paraId="1C7D4196" w14:textId="77777777" w:rsidR="00625858" w:rsidRDefault="00AE398F">
      <w:pPr>
        <w:spacing w:after="0" w:line="275" w:lineRule="atLeast"/>
        <w:jc w:val="center"/>
      </w:pPr>
      <w:r>
        <w:rPr>
          <w:rFonts w:ascii="Times New Roman" w:hAnsi="Times New Roman"/>
          <w:b/>
          <w:color w:val="000000"/>
          <w:sz w:val="20"/>
        </w:rPr>
        <w:t>SUMMARY OF THE ARGUMENT</w:t>
      </w:r>
    </w:p>
    <w:p w14:paraId="0C49C846" w14:textId="77777777" w:rsidR="00625858" w:rsidRDefault="00AE398F">
      <w:pPr>
        <w:spacing w:after="0" w:line="275" w:lineRule="atLeast"/>
        <w:jc w:val="both"/>
      </w:pPr>
      <w:r>
        <w:rPr>
          <w:rFonts w:ascii="Times New Roman" w:hAnsi="Times New Roman"/>
          <w:color w:val="000000"/>
          <w:sz w:val="20"/>
        </w:rPr>
        <w:t> </w:t>
      </w:r>
    </w:p>
    <w:p w14:paraId="0594E26D" w14:textId="77777777" w:rsidR="00625858" w:rsidRDefault="00AE398F">
      <w:pPr>
        <w:spacing w:after="0" w:line="275" w:lineRule="atLeast"/>
        <w:jc w:val="both"/>
      </w:pPr>
      <w:r>
        <w:rPr>
          <w:rFonts w:ascii="Times New Roman" w:hAnsi="Times New Roman"/>
          <w:color w:val="000000"/>
          <w:sz w:val="20"/>
        </w:rPr>
        <w:t>An insurer's duty to defend is triggered if at lea</w:t>
      </w:r>
      <w:r>
        <w:rPr>
          <w:rFonts w:ascii="Times New Roman" w:hAnsi="Times New Roman"/>
          <w:color w:val="000000"/>
          <w:sz w:val="20"/>
        </w:rPr>
        <w:t>st some allegations in the complaint against the insured potentially fall within the policy's coverage. This is a very low threshold. Because the Statement of Claim was littered with allegations of tortious conduct by ASSEC employees, this should have been</w:t>
      </w:r>
      <w:r>
        <w:rPr>
          <w:rFonts w:ascii="Times New Roman" w:hAnsi="Times New Roman"/>
          <w:color w:val="000000"/>
          <w:sz w:val="20"/>
        </w:rPr>
        <w:t xml:space="preserve"> an easy case. Unfortunately, Markel made a hasty decision to deny based on Space Race's characterization of its claim as a “straightforward breach of contract” and a broad breach-of-contract exclusion that was </w:t>
      </w:r>
      <w:r>
        <w:rPr>
          <w:rFonts w:ascii="Times New Roman" w:hAnsi="Times New Roman"/>
          <w:i/>
          <w:color w:val="000000"/>
          <w:sz w:val="20"/>
        </w:rPr>
        <w:t>not</w:t>
      </w:r>
      <w:r>
        <w:rPr>
          <w:rFonts w:ascii="Times New Roman" w:hAnsi="Times New Roman"/>
          <w:color w:val="000000"/>
          <w:sz w:val="20"/>
        </w:rPr>
        <w:t xml:space="preserve"> in ASSEC's policy.</w:t>
      </w:r>
    </w:p>
    <w:p w14:paraId="3BBF1D87" w14:textId="77777777" w:rsidR="00625858" w:rsidRDefault="00AE398F">
      <w:pPr>
        <w:spacing w:after="0" w:line="275" w:lineRule="atLeast"/>
        <w:jc w:val="both"/>
      </w:pPr>
      <w:r>
        <w:rPr>
          <w:rFonts w:ascii="Times New Roman" w:hAnsi="Times New Roman"/>
          <w:color w:val="000000"/>
          <w:sz w:val="20"/>
        </w:rPr>
        <w:t> </w:t>
      </w:r>
    </w:p>
    <w:p w14:paraId="2DDCAB25" w14:textId="77777777" w:rsidR="00625858" w:rsidRDefault="00AE398F">
      <w:pPr>
        <w:spacing w:after="0" w:line="275" w:lineRule="atLeast"/>
        <w:jc w:val="both"/>
      </w:pPr>
      <w:r>
        <w:rPr>
          <w:rFonts w:ascii="Times New Roman" w:hAnsi="Times New Roman"/>
          <w:color w:val="000000"/>
          <w:sz w:val="20"/>
        </w:rPr>
        <w:t xml:space="preserve">In granting summary </w:t>
      </w:r>
      <w:r>
        <w:rPr>
          <w:rFonts w:ascii="Times New Roman" w:hAnsi="Times New Roman"/>
          <w:color w:val="000000"/>
          <w:sz w:val="20"/>
        </w:rPr>
        <w:t>judgment to Markel, the District Court ignored the well-established rules for determining whether an insurer has a duty to defend. The court did not interpret the Breach of Contract Exclusion narrowly and strictly against Markel or even apply it as written</w:t>
      </w:r>
      <w:r>
        <w:rPr>
          <w:rFonts w:ascii="Times New Roman" w:hAnsi="Times New Roman"/>
          <w:color w:val="000000"/>
          <w:sz w:val="20"/>
        </w:rPr>
        <w:t>. Instead, it interpreted the exclusion as having an extremely broad reach, far beyond breach of the express terms of the MOA.</w:t>
      </w:r>
    </w:p>
    <w:p w14:paraId="059E81E3" w14:textId="77777777" w:rsidR="00625858" w:rsidRDefault="00AE398F">
      <w:pPr>
        <w:spacing w:after="0" w:line="275" w:lineRule="atLeast"/>
        <w:jc w:val="both"/>
      </w:pPr>
      <w:r>
        <w:rPr>
          <w:rFonts w:ascii="Times New Roman" w:hAnsi="Times New Roman"/>
          <w:color w:val="000000"/>
          <w:sz w:val="20"/>
        </w:rPr>
        <w:t> </w:t>
      </w:r>
    </w:p>
    <w:p w14:paraId="2CE993F8" w14:textId="77777777" w:rsidR="00625858" w:rsidRDefault="00AE398F">
      <w:pPr>
        <w:spacing w:before="400" w:after="0" w:line="275" w:lineRule="atLeast"/>
        <w:jc w:val="center"/>
      </w:pPr>
      <w:r>
        <w:rPr>
          <w:rFonts w:ascii="Times New Roman" w:hAnsi="Times New Roman"/>
          <w:b/>
          <w:color w:val="000000"/>
          <w:sz w:val="20"/>
        </w:rPr>
        <w:t>ARGUMENT</w:t>
      </w:r>
    </w:p>
    <w:p w14:paraId="17DE54E8" w14:textId="77777777" w:rsidR="00625858" w:rsidRDefault="00AE398F">
      <w:pPr>
        <w:spacing w:before="400" w:after="0" w:line="275" w:lineRule="atLeast"/>
        <w:jc w:val="center"/>
      </w:pPr>
      <w:r>
        <w:rPr>
          <w:rFonts w:ascii="Times New Roman" w:hAnsi="Times New Roman"/>
          <w:b/>
          <w:color w:val="000000"/>
          <w:sz w:val="20"/>
        </w:rPr>
        <w:t>I. Applicable Legal Authorities</w:t>
      </w:r>
    </w:p>
    <w:p w14:paraId="476C0A85" w14:textId="77777777" w:rsidR="00625858" w:rsidRDefault="00AE398F">
      <w:pPr>
        <w:spacing w:before="400" w:after="0" w:line="275" w:lineRule="atLeast"/>
        <w:jc w:val="center"/>
      </w:pPr>
      <w:r>
        <w:rPr>
          <w:rFonts w:ascii="Times New Roman" w:hAnsi="Times New Roman"/>
          <w:b/>
          <w:color w:val="000000"/>
          <w:sz w:val="20"/>
        </w:rPr>
        <w:t xml:space="preserve">A. </w:t>
      </w:r>
      <w:r>
        <w:rPr>
          <w:rFonts w:ascii="Times New Roman" w:hAnsi="Times New Roman"/>
          <w:b/>
          <w:i/>
          <w:color w:val="000000"/>
          <w:sz w:val="20"/>
        </w:rPr>
        <w:t>Duty to Defend</w:t>
      </w:r>
    </w:p>
    <w:p w14:paraId="16DC59AD" w14:textId="5B3A90B4" w:rsidR="00625858" w:rsidRDefault="00AE398F">
      <w:pPr>
        <w:spacing w:before="200" w:after="0" w:line="275" w:lineRule="atLeast"/>
        <w:jc w:val="both"/>
      </w:pPr>
      <w:r>
        <w:rPr>
          <w:rFonts w:ascii="Times New Roman" w:hAnsi="Times New Roman"/>
          <w:color w:val="000000"/>
          <w:sz w:val="20"/>
        </w:rPr>
        <w:t xml:space="preserve">The most fundamental promise in a liability policy is the insurer's promise to defend its insured. </w:t>
      </w:r>
      <w:r>
        <w:rPr>
          <w:rFonts w:ascii="Times New Roman" w:hAnsi="Times New Roman"/>
          <w:color w:val="000000"/>
          <w:sz w:val="20"/>
        </w:rPr>
        <w:t>Because this is so, certain well-established legal ru</w:t>
      </w:r>
      <w:r>
        <w:rPr>
          <w:rFonts w:ascii="Times New Roman" w:hAnsi="Times New Roman"/>
          <w:color w:val="000000"/>
          <w:sz w:val="20"/>
        </w:rPr>
        <w:t>les have developed to ensure the promise is fulfilled.</w:t>
      </w:r>
    </w:p>
    <w:p w14:paraId="1E68EEA8" w14:textId="77777777" w:rsidR="00625858" w:rsidRDefault="00AE398F">
      <w:pPr>
        <w:spacing w:after="0" w:line="275" w:lineRule="atLeast"/>
        <w:jc w:val="both"/>
      </w:pPr>
      <w:r>
        <w:rPr>
          <w:rFonts w:ascii="Times New Roman" w:hAnsi="Times New Roman"/>
          <w:color w:val="000000"/>
          <w:sz w:val="20"/>
        </w:rPr>
        <w:t> </w:t>
      </w:r>
    </w:p>
    <w:p w14:paraId="3A986E56" w14:textId="70CE404D" w:rsidR="00625858" w:rsidRDefault="00AE398F">
      <w:pPr>
        <w:spacing w:after="0" w:line="275" w:lineRule="atLeast"/>
        <w:jc w:val="both"/>
      </w:pPr>
      <w:r>
        <w:rPr>
          <w:rFonts w:ascii="Times New Roman" w:hAnsi="Times New Roman"/>
          <w:color w:val="000000"/>
          <w:sz w:val="20"/>
        </w:rPr>
        <w:lastRenderedPageBreak/>
        <w:t>First, when comparing the policy wording with the allegations in the complaint to determine if the duty is triggered, the insurer must focus on the facts describing the insured's conduct, “not the le</w:t>
      </w:r>
      <w:r>
        <w:rPr>
          <w:rFonts w:ascii="Times New Roman" w:hAnsi="Times New Roman"/>
          <w:color w:val="000000"/>
          <w:sz w:val="20"/>
        </w:rPr>
        <w:t xml:space="preserve">gal phraseology,” the claimant's choice of causes of action, or the characterizations of the claim. </w:t>
      </w:r>
    </w:p>
    <w:p w14:paraId="04CDA1C7" w14:textId="77777777" w:rsidR="00625858" w:rsidRDefault="00AE398F">
      <w:pPr>
        <w:spacing w:after="0" w:line="275" w:lineRule="atLeast"/>
        <w:jc w:val="both"/>
      </w:pPr>
      <w:r>
        <w:rPr>
          <w:rFonts w:ascii="Times New Roman" w:hAnsi="Times New Roman"/>
          <w:color w:val="000000"/>
          <w:sz w:val="20"/>
        </w:rPr>
        <w:t> </w:t>
      </w:r>
    </w:p>
    <w:p w14:paraId="5FC3FC2C" w14:textId="1DFF0DD2" w:rsidR="00625858" w:rsidRDefault="00AE398F">
      <w:pPr>
        <w:spacing w:after="0" w:line="275" w:lineRule="atLeast"/>
        <w:jc w:val="both"/>
      </w:pPr>
      <w:r>
        <w:rPr>
          <w:rFonts w:ascii="Times New Roman" w:hAnsi="Times New Roman"/>
          <w:color w:val="000000"/>
          <w:sz w:val="20"/>
        </w:rPr>
        <w:t>Second, the policy wording must be “construed liberally in favor of t</w:t>
      </w:r>
      <w:r>
        <w:rPr>
          <w:rFonts w:ascii="Times New Roman" w:hAnsi="Times New Roman"/>
          <w:color w:val="000000"/>
          <w:sz w:val="20"/>
        </w:rPr>
        <w:t>he insured and strictly against the insurer.”</w:t>
      </w:r>
      <w:r>
        <w:rPr>
          <w:rFonts w:ascii="Times New Roman" w:hAnsi="Times New Roman"/>
          <w:color w:val="000000"/>
          <w:sz w:val="20"/>
        </w:rPr>
        <w:t xml:space="preserve"> In particular, policy exclusions must “be interpreted as narrowly as possible, so as to provide maximum coverage for the insured, and are to be construed most strongly against the insu</w:t>
      </w:r>
      <w:r>
        <w:rPr>
          <w:rFonts w:ascii="Times New Roman" w:hAnsi="Times New Roman"/>
          <w:color w:val="000000"/>
          <w:sz w:val="20"/>
        </w:rPr>
        <w:t xml:space="preserve">rance company ....” </w:t>
      </w:r>
      <w:r>
        <w:rPr>
          <w:rFonts w:ascii="Times New Roman" w:hAnsi="Times New Roman"/>
          <w:color w:val="000000"/>
          <w:sz w:val="20"/>
        </w:rPr>
        <w:t>While the insured must prove the allegations potentially fall within the policy's coverage, it is the insurer's burden to prove the c</w:t>
      </w:r>
      <w:r>
        <w:rPr>
          <w:rFonts w:ascii="Times New Roman" w:hAnsi="Times New Roman"/>
          <w:color w:val="000000"/>
          <w:sz w:val="20"/>
        </w:rPr>
        <w:t xml:space="preserve">laim is “clearly excludable.” </w:t>
      </w:r>
    </w:p>
    <w:p w14:paraId="7CAE1C9E" w14:textId="77777777" w:rsidR="00625858" w:rsidRDefault="00AE398F">
      <w:pPr>
        <w:spacing w:after="0" w:line="275" w:lineRule="atLeast"/>
        <w:jc w:val="both"/>
      </w:pPr>
      <w:r>
        <w:rPr>
          <w:rFonts w:ascii="Times New Roman" w:hAnsi="Times New Roman"/>
          <w:color w:val="000000"/>
          <w:sz w:val="20"/>
        </w:rPr>
        <w:t> </w:t>
      </w:r>
    </w:p>
    <w:p w14:paraId="3E8CC42C" w14:textId="16F053AD" w:rsidR="00625858" w:rsidRDefault="00AE398F">
      <w:pPr>
        <w:spacing w:after="0" w:line="275" w:lineRule="atLeast"/>
        <w:jc w:val="both"/>
      </w:pPr>
      <w:r>
        <w:rPr>
          <w:rFonts w:ascii="Times New Roman" w:hAnsi="Times New Roman"/>
          <w:color w:val="000000"/>
          <w:sz w:val="20"/>
        </w:rPr>
        <w:t xml:space="preserve">Third, the insurer must “defend the allegations covered by the policy,” even if some allegations are clearly excluded. </w:t>
      </w:r>
      <w:r>
        <w:rPr>
          <w:rFonts w:ascii="Times New Roman" w:hAnsi="Times New Roman"/>
          <w:color w:val="000000"/>
          <w:sz w:val="20"/>
        </w:rPr>
        <w:t>Fourth, “if there is any uncertainty as to whether the complaint alleges facts that would invoke the duty to defend, the insurer must invest</w:t>
      </w:r>
      <w:r>
        <w:rPr>
          <w:rFonts w:ascii="Times New Roman" w:hAnsi="Times New Roman"/>
          <w:color w:val="000000"/>
          <w:sz w:val="20"/>
        </w:rPr>
        <w:t xml:space="preserve">igate the facts surrounding the incident ....” </w:t>
      </w:r>
    </w:p>
    <w:p w14:paraId="394E9FAE" w14:textId="77777777" w:rsidR="00625858" w:rsidRDefault="00AE398F">
      <w:pPr>
        <w:spacing w:after="0" w:line="275" w:lineRule="atLeast"/>
        <w:jc w:val="both"/>
      </w:pPr>
      <w:r>
        <w:rPr>
          <w:rFonts w:ascii="Times New Roman" w:hAnsi="Times New Roman"/>
          <w:color w:val="000000"/>
          <w:sz w:val="20"/>
        </w:rPr>
        <w:t> </w:t>
      </w:r>
    </w:p>
    <w:p w14:paraId="1850ABEF" w14:textId="77777777" w:rsidR="00625858" w:rsidRDefault="00AE398F">
      <w:pPr>
        <w:spacing w:before="400" w:after="0" w:line="275" w:lineRule="atLeast"/>
        <w:jc w:val="center"/>
      </w:pPr>
      <w:r>
        <w:rPr>
          <w:rFonts w:ascii="Times New Roman" w:hAnsi="Times New Roman"/>
          <w:b/>
          <w:color w:val="000000"/>
          <w:sz w:val="20"/>
        </w:rPr>
        <w:t xml:space="preserve">B. </w:t>
      </w:r>
      <w:r>
        <w:rPr>
          <w:rFonts w:ascii="Times New Roman" w:hAnsi="Times New Roman"/>
          <w:b/>
          <w:i/>
          <w:color w:val="000000"/>
          <w:sz w:val="20"/>
        </w:rPr>
        <w:t>Implied Duties Arising from a Contract</w:t>
      </w:r>
    </w:p>
    <w:p w14:paraId="69E09B81" w14:textId="29BAD2CB" w:rsidR="00625858" w:rsidRDefault="00AE398F">
      <w:pPr>
        <w:spacing w:before="200" w:after="0" w:line="275" w:lineRule="atLeast"/>
        <w:jc w:val="both"/>
      </w:pPr>
      <w:r>
        <w:rPr>
          <w:rFonts w:ascii="Times New Roman" w:hAnsi="Times New Roman"/>
          <w:color w:val="000000"/>
          <w:sz w:val="20"/>
        </w:rPr>
        <w:t>It is well-established that liability for breach of contract occurs when the</w:t>
      </w:r>
      <w:r>
        <w:rPr>
          <w:rFonts w:ascii="Times New Roman" w:hAnsi="Times New Roman"/>
          <w:color w:val="000000"/>
          <w:sz w:val="20"/>
        </w:rPr>
        <w:t xml:space="preserve"> defendant “expressly breached a specific term of the contract” between the parties. </w:t>
      </w:r>
      <w:r>
        <w:rPr>
          <w:rFonts w:ascii="Times New Roman" w:hAnsi="Times New Roman"/>
          <w:color w:val="000000"/>
          <w:sz w:val="20"/>
        </w:rPr>
        <w:t>It is also well-established that inde</w:t>
      </w:r>
      <w:r>
        <w:rPr>
          <w:rFonts w:ascii="Times New Roman" w:hAnsi="Times New Roman"/>
          <w:color w:val="000000"/>
          <w:sz w:val="20"/>
        </w:rPr>
        <w:t xml:space="preserve">pendent tort liability can arise when a defendant breaches a duty “implied by or </w:t>
      </w:r>
      <w:r>
        <w:rPr>
          <w:rFonts w:ascii="Times New Roman" w:hAnsi="Times New Roman"/>
          <w:b/>
          <w:color w:val="000000"/>
          <w:sz w:val="20"/>
        </w:rPr>
        <w:t>*13</w:t>
      </w:r>
      <w:r>
        <w:rPr>
          <w:rFonts w:ascii="Times New Roman" w:hAnsi="Times New Roman"/>
          <w:color w:val="000000"/>
          <w:sz w:val="20"/>
        </w:rPr>
        <w:t xml:space="preserve"> arising out of a contract</w:t>
      </w:r>
      <w:r w:rsidR="00ED51A6">
        <w:rPr>
          <w:rFonts w:ascii="Times New Roman" w:hAnsi="Times New Roman"/>
          <w:color w:val="000000"/>
          <w:sz w:val="20"/>
        </w:rPr>
        <w:t>.</w:t>
      </w:r>
    </w:p>
    <w:p w14:paraId="68BAA018" w14:textId="77777777" w:rsidR="00625858" w:rsidRDefault="00AE398F">
      <w:pPr>
        <w:spacing w:after="0" w:line="275" w:lineRule="atLeast"/>
        <w:jc w:val="both"/>
      </w:pPr>
      <w:r>
        <w:rPr>
          <w:rFonts w:ascii="Times New Roman" w:hAnsi="Times New Roman"/>
          <w:color w:val="000000"/>
          <w:sz w:val="20"/>
        </w:rPr>
        <w:t> </w:t>
      </w:r>
    </w:p>
    <w:p w14:paraId="5A9C98B3" w14:textId="403D73EE" w:rsidR="00625858" w:rsidRDefault="00AE398F">
      <w:pPr>
        <w:spacing w:after="0" w:line="275" w:lineRule="atLeast"/>
        <w:jc w:val="both"/>
      </w:pPr>
      <w:r>
        <w:rPr>
          <w:rFonts w:ascii="Times New Roman" w:hAnsi="Times New Roman"/>
          <w:color w:val="000000"/>
          <w:sz w:val="20"/>
        </w:rPr>
        <w:t>The law implies two separate duties into every contract. First, the law implies “ ‘an agreement to do those things that according to reason and justice the parties should do in order to carry out the purpose for which the contra</w:t>
      </w:r>
      <w:r>
        <w:rPr>
          <w:rFonts w:ascii="Times New Roman" w:hAnsi="Times New Roman"/>
          <w:color w:val="000000"/>
          <w:sz w:val="20"/>
        </w:rPr>
        <w:t xml:space="preserve">ct was made’ ” and not “ ‘do anything which will have the effect of destroying or injuring the rights of the other party to receive the fruits of the contract [.]’ ” </w:t>
      </w:r>
      <w:r>
        <w:rPr>
          <w:rFonts w:ascii="Times New Roman" w:hAnsi="Times New Roman"/>
          <w:color w:val="000000"/>
          <w:sz w:val="20"/>
        </w:rPr>
        <w:t>This implied covenant of good faith and fair dealing “preserve[s] the spirit of th</w:t>
      </w:r>
      <w:r>
        <w:rPr>
          <w:rFonts w:ascii="Times New Roman" w:hAnsi="Times New Roman"/>
          <w:color w:val="000000"/>
          <w:sz w:val="20"/>
        </w:rPr>
        <w:t xml:space="preserve">e contract” and “protect[s] the reasonable expectations of the parties.” </w:t>
      </w:r>
    </w:p>
    <w:p w14:paraId="449AFF04" w14:textId="77777777" w:rsidR="00625858" w:rsidRDefault="00AE398F">
      <w:pPr>
        <w:spacing w:after="0" w:line="275" w:lineRule="atLeast"/>
        <w:jc w:val="both"/>
      </w:pPr>
      <w:r>
        <w:rPr>
          <w:rFonts w:ascii="Times New Roman" w:hAnsi="Times New Roman"/>
          <w:color w:val="000000"/>
          <w:sz w:val="20"/>
        </w:rPr>
        <w:t> </w:t>
      </w:r>
    </w:p>
    <w:p w14:paraId="09361D30" w14:textId="21C97764" w:rsidR="00625858" w:rsidRDefault="00AE398F">
      <w:pPr>
        <w:spacing w:after="0" w:line="275" w:lineRule="atLeast"/>
        <w:jc w:val="both"/>
      </w:pPr>
      <w:r>
        <w:rPr>
          <w:rFonts w:ascii="Times New Roman" w:hAnsi="Times New Roman"/>
          <w:color w:val="000000"/>
          <w:sz w:val="20"/>
        </w:rPr>
        <w:t xml:space="preserve">Second, the law implies a duty not to perform the contract in a negligent or wrongful manner. </w:t>
      </w:r>
      <w:r>
        <w:rPr>
          <w:rFonts w:ascii="Times New Roman" w:hAnsi="Times New Roman"/>
          <w:color w:val="000000"/>
          <w:sz w:val="20"/>
        </w:rPr>
        <w:t>The “gravamen of the action” is in tort when the contracting party's performance of the contract injures the other party</w:t>
      </w:r>
      <w:r w:rsidR="00ED51A6">
        <w:rPr>
          <w:rFonts w:ascii="Times New Roman" w:hAnsi="Times New Roman"/>
          <w:color w:val="000000"/>
          <w:sz w:val="20"/>
        </w:rPr>
        <w:t>.</w:t>
      </w:r>
    </w:p>
    <w:p w14:paraId="7C0A8104" w14:textId="77777777" w:rsidR="00625858" w:rsidRDefault="00AE398F">
      <w:pPr>
        <w:spacing w:after="0" w:line="275" w:lineRule="atLeast"/>
        <w:jc w:val="both"/>
      </w:pPr>
      <w:r>
        <w:rPr>
          <w:rFonts w:ascii="Times New Roman" w:hAnsi="Times New Roman"/>
          <w:color w:val="000000"/>
          <w:sz w:val="20"/>
        </w:rPr>
        <w:t> </w:t>
      </w:r>
    </w:p>
    <w:p w14:paraId="3A047AB4" w14:textId="48F60973" w:rsidR="00625858" w:rsidRDefault="00AE398F">
      <w:pPr>
        <w:spacing w:after="0" w:line="275" w:lineRule="atLeast"/>
        <w:jc w:val="both"/>
      </w:pPr>
      <w:r>
        <w:rPr>
          <w:rFonts w:ascii="Times New Roman" w:hAnsi="Times New Roman"/>
          <w:color w:val="000000"/>
          <w:sz w:val="20"/>
        </w:rPr>
        <w:t>the court applied the dichotomy between a simple breach-of-contract claim (nonfeasance) and a tort claim arising from a contract</w:t>
      </w:r>
      <w:r>
        <w:rPr>
          <w:rFonts w:ascii="Times New Roman" w:hAnsi="Times New Roman"/>
          <w:color w:val="000000"/>
          <w:sz w:val="20"/>
        </w:rPr>
        <w:t xml:space="preserve"> (misfeasance). The court explained that the plaintiff's “claims concerning failure to apply for permits within a reasonable time, failure to communicate with plaintiffs concerning performance, and failure to commence construction within ten months” were c</w:t>
      </w:r>
      <w:r>
        <w:rPr>
          <w:rFonts w:ascii="Times New Roman" w:hAnsi="Times New Roman"/>
          <w:color w:val="000000"/>
          <w:sz w:val="20"/>
        </w:rPr>
        <w:t xml:space="preserve">learly independent tort claims beyond the express terms of the contract. </w:t>
      </w:r>
      <w:r>
        <w:rPr>
          <w:rFonts w:ascii="Times New Roman" w:hAnsi="Times New Roman"/>
          <w:i/>
          <w:color w:val="000000"/>
          <w:sz w:val="20"/>
        </w:rPr>
        <w:t>Id</w:t>
      </w:r>
      <w:r>
        <w:rPr>
          <w:rFonts w:ascii="Times New Roman" w:hAnsi="Times New Roman"/>
          <w:color w:val="000000"/>
          <w:sz w:val="20"/>
        </w:rPr>
        <w:t>.</w:t>
      </w:r>
    </w:p>
    <w:p w14:paraId="58E415CB" w14:textId="77777777" w:rsidR="00625858" w:rsidRDefault="00AE398F">
      <w:pPr>
        <w:spacing w:after="0" w:line="275" w:lineRule="atLeast"/>
        <w:jc w:val="both"/>
      </w:pPr>
      <w:r>
        <w:rPr>
          <w:rFonts w:ascii="Times New Roman" w:hAnsi="Times New Roman"/>
          <w:color w:val="000000"/>
          <w:sz w:val="20"/>
        </w:rPr>
        <w:t> </w:t>
      </w:r>
    </w:p>
    <w:p w14:paraId="4124F4BF" w14:textId="11752BE7" w:rsidR="00625858" w:rsidRDefault="00AE398F">
      <w:pPr>
        <w:spacing w:after="0" w:line="275" w:lineRule="atLeast"/>
        <w:jc w:val="both"/>
      </w:pPr>
      <w:r>
        <w:rPr>
          <w:rFonts w:ascii="Times New Roman" w:hAnsi="Times New Roman"/>
          <w:color w:val="000000"/>
          <w:sz w:val="20"/>
        </w:rPr>
        <w:t>The implied duties to act in good faith and perform the contract in a proper manner are “collateral” to the contract; if a breach of these duties injures the other contracting p</w:t>
      </w:r>
      <w:r>
        <w:rPr>
          <w:rFonts w:ascii="Times New Roman" w:hAnsi="Times New Roman"/>
          <w:color w:val="000000"/>
          <w:sz w:val="20"/>
        </w:rPr>
        <w:t xml:space="preserve">arty, a tort arises. </w:t>
      </w:r>
      <w:r>
        <w:rPr>
          <w:rFonts w:ascii="Times New Roman" w:hAnsi="Times New Roman"/>
          <w:color w:val="000000"/>
          <w:sz w:val="20"/>
        </w:rPr>
        <w:t xml:space="preserve">“The contract creates, or induces, or causes a condition, or state of things, which furnishes the occasion for </w:t>
      </w:r>
      <w:r>
        <w:rPr>
          <w:rFonts w:ascii="Times New Roman" w:hAnsi="Times New Roman"/>
          <w:b/>
          <w:color w:val="000000"/>
          <w:sz w:val="20"/>
        </w:rPr>
        <w:t>*15</w:t>
      </w:r>
      <w:r>
        <w:rPr>
          <w:rFonts w:ascii="Times New Roman" w:hAnsi="Times New Roman"/>
          <w:color w:val="000000"/>
          <w:sz w:val="20"/>
        </w:rPr>
        <w:t xml:space="preserve"> the tort.” </w:t>
      </w:r>
    </w:p>
    <w:p w14:paraId="41CE21B9" w14:textId="77777777" w:rsidR="00625858" w:rsidRDefault="00AE398F">
      <w:pPr>
        <w:spacing w:after="0" w:line="275" w:lineRule="atLeast"/>
        <w:jc w:val="both"/>
      </w:pPr>
      <w:r>
        <w:rPr>
          <w:rFonts w:ascii="Times New Roman" w:hAnsi="Times New Roman"/>
          <w:color w:val="000000"/>
          <w:sz w:val="20"/>
        </w:rPr>
        <w:t> </w:t>
      </w:r>
    </w:p>
    <w:p w14:paraId="1BF083FC" w14:textId="4A49F8CC" w:rsidR="00625858" w:rsidRDefault="00AE398F">
      <w:pPr>
        <w:spacing w:after="0" w:line="275" w:lineRule="atLeast"/>
        <w:jc w:val="both"/>
      </w:pPr>
      <w:r>
        <w:rPr>
          <w:rFonts w:ascii="Times New Roman" w:hAnsi="Times New Roman"/>
          <w:color w:val="000000"/>
          <w:sz w:val="20"/>
        </w:rPr>
        <w:t>This dichotomy has been addressed by the Alabama Supreme Court in the context of insura</w:t>
      </w:r>
      <w:r>
        <w:rPr>
          <w:rFonts w:ascii="Times New Roman" w:hAnsi="Times New Roman"/>
          <w:color w:val="000000"/>
          <w:sz w:val="20"/>
        </w:rPr>
        <w:t xml:space="preserve">nce. For example, in </w:t>
      </w:r>
      <w:r>
        <w:rPr>
          <w:rFonts w:ascii="Times New Roman" w:hAnsi="Times New Roman"/>
          <w:i/>
          <w:color w:val="000000"/>
          <w:sz w:val="20"/>
        </w:rPr>
        <w:t>Birmingham Oxygen</w:t>
      </w:r>
      <w:r>
        <w:rPr>
          <w:rFonts w:ascii="Times New Roman" w:hAnsi="Times New Roman"/>
          <w:color w:val="000000"/>
          <w:sz w:val="20"/>
        </w:rPr>
        <w:t xml:space="preserve">, a breach-of-contract exclusion did not bar coverage where the plaintiff alleged the insured's negligent failure to deliver proper attachments and oxygen tanks for its breathing machine caused her husband's death. </w:t>
      </w:r>
      <w:r>
        <w:rPr>
          <w:rFonts w:ascii="Times New Roman" w:hAnsi="Times New Roman"/>
          <w:color w:val="000000"/>
          <w:sz w:val="20"/>
        </w:rPr>
        <w:t>Similarly, a contract exclusion did not bar coverage where the plaintiff alleged the insured's failure to furn</w:t>
      </w:r>
      <w:r>
        <w:rPr>
          <w:rFonts w:ascii="Times New Roman" w:hAnsi="Times New Roman"/>
          <w:color w:val="000000"/>
          <w:sz w:val="20"/>
        </w:rPr>
        <w:t xml:space="preserve">ish </w:t>
      </w:r>
      <w:proofErr w:type="spellStart"/>
      <w:r>
        <w:rPr>
          <w:rFonts w:ascii="Times New Roman" w:hAnsi="Times New Roman"/>
          <w:color w:val="000000"/>
          <w:sz w:val="20"/>
        </w:rPr>
        <w:t>lifehooks</w:t>
      </w:r>
      <w:proofErr w:type="spellEnd"/>
      <w:r>
        <w:rPr>
          <w:rFonts w:ascii="Times New Roman" w:hAnsi="Times New Roman"/>
          <w:color w:val="000000"/>
          <w:sz w:val="20"/>
        </w:rPr>
        <w:t xml:space="preserve"> as required in a construction contract caused a swimmer to drown. </w:t>
      </w:r>
      <w:r>
        <w:rPr>
          <w:rFonts w:ascii="Times New Roman" w:hAnsi="Times New Roman"/>
          <w:color w:val="000000"/>
          <w:sz w:val="20"/>
        </w:rPr>
        <w:t xml:space="preserve">The </w:t>
      </w:r>
      <w:r>
        <w:rPr>
          <w:rFonts w:ascii="Times New Roman" w:hAnsi="Times New Roman"/>
          <w:color w:val="000000"/>
          <w:sz w:val="20"/>
        </w:rPr>
        <w:t>breach-of-contract exclusions did not apply because independent tort liability arose from the insureds' alleged breaches of implied collateral duties.</w:t>
      </w:r>
    </w:p>
    <w:p w14:paraId="750422DA" w14:textId="77777777" w:rsidR="00625858" w:rsidRDefault="00AE398F">
      <w:pPr>
        <w:spacing w:after="0" w:line="275" w:lineRule="atLeast"/>
        <w:jc w:val="both"/>
      </w:pPr>
      <w:r>
        <w:rPr>
          <w:rFonts w:ascii="Times New Roman" w:hAnsi="Times New Roman"/>
          <w:color w:val="000000"/>
          <w:sz w:val="20"/>
        </w:rPr>
        <w:t> </w:t>
      </w:r>
    </w:p>
    <w:p w14:paraId="3AB9E9E6" w14:textId="77777777" w:rsidR="00625858" w:rsidRDefault="00AE398F">
      <w:pPr>
        <w:spacing w:before="400" w:after="0" w:line="275" w:lineRule="atLeast"/>
        <w:jc w:val="center"/>
      </w:pPr>
      <w:r>
        <w:rPr>
          <w:rFonts w:ascii="Times New Roman" w:hAnsi="Times New Roman"/>
          <w:b/>
          <w:color w:val="000000"/>
          <w:sz w:val="20"/>
        </w:rPr>
        <w:lastRenderedPageBreak/>
        <w:t xml:space="preserve">C. </w:t>
      </w:r>
      <w:r>
        <w:rPr>
          <w:rFonts w:ascii="Times New Roman" w:hAnsi="Times New Roman"/>
          <w:b/>
          <w:i/>
          <w:color w:val="000000"/>
          <w:sz w:val="20"/>
        </w:rPr>
        <w:t>A Broad Exclusions Has a Different Effect Than a Narrow Exclusion.</w:t>
      </w:r>
    </w:p>
    <w:p w14:paraId="094EFB31" w14:textId="63CB5589" w:rsidR="00625858" w:rsidRDefault="00AE398F">
      <w:pPr>
        <w:spacing w:before="200" w:after="0" w:line="275" w:lineRule="atLeast"/>
        <w:jc w:val="both"/>
      </w:pPr>
      <w:r>
        <w:rPr>
          <w:rFonts w:ascii="Times New Roman" w:hAnsi="Times New Roman"/>
          <w:color w:val="000000"/>
          <w:sz w:val="20"/>
        </w:rPr>
        <w:t>Insurers routinely use the phrase</w:t>
      </w:r>
      <w:r>
        <w:rPr>
          <w:rFonts w:ascii="Times New Roman" w:hAnsi="Times New Roman"/>
          <w:color w:val="000000"/>
          <w:sz w:val="20"/>
        </w:rPr>
        <w:t xml:space="preserve"> “based upon, arising out of, or in any way involving” (and similar phrases) in both coverage grants and exclusions. These words have “generally been held to be a broad, comprehensive term meaning </w:t>
      </w:r>
      <w:r>
        <w:rPr>
          <w:rFonts w:ascii="Times New Roman" w:hAnsi="Times New Roman"/>
          <w:b/>
          <w:color w:val="000000"/>
          <w:sz w:val="20"/>
        </w:rPr>
        <w:t>*16</w:t>
      </w:r>
      <w:r>
        <w:rPr>
          <w:rFonts w:ascii="Times New Roman" w:hAnsi="Times New Roman"/>
          <w:color w:val="000000"/>
          <w:sz w:val="20"/>
        </w:rPr>
        <w:t xml:space="preserve"> ‘origination from,’ ‘having its origin in,’ ‘growing ou</w:t>
      </w:r>
      <w:r>
        <w:rPr>
          <w:rFonts w:ascii="Times New Roman" w:hAnsi="Times New Roman"/>
          <w:color w:val="000000"/>
          <w:sz w:val="20"/>
        </w:rPr>
        <w:t>t,’ or ‘flowing from.</w:t>
      </w:r>
    </w:p>
    <w:p w14:paraId="36074A16" w14:textId="77777777" w:rsidR="00625858" w:rsidRDefault="00AE398F">
      <w:pPr>
        <w:spacing w:after="0" w:line="275" w:lineRule="atLeast"/>
        <w:jc w:val="both"/>
      </w:pPr>
      <w:r>
        <w:rPr>
          <w:rFonts w:ascii="Times New Roman" w:hAnsi="Times New Roman"/>
          <w:color w:val="000000"/>
          <w:sz w:val="20"/>
        </w:rPr>
        <w:t> </w:t>
      </w:r>
    </w:p>
    <w:p w14:paraId="50B20C2D" w14:textId="04BB56D8" w:rsidR="00625858" w:rsidRDefault="00AE398F">
      <w:pPr>
        <w:spacing w:after="0" w:line="275" w:lineRule="atLeast"/>
        <w:jc w:val="both"/>
      </w:pPr>
      <w:r>
        <w:rPr>
          <w:rFonts w:ascii="Times New Roman" w:hAnsi="Times New Roman"/>
          <w:color w:val="000000"/>
          <w:sz w:val="20"/>
        </w:rPr>
        <w:t xml:space="preserve">An exclusion that is limited to an insured's liability “for” breach of contract is much narrower than an exclusion that uses the broad “arising out of” type of </w:t>
      </w:r>
      <w:r>
        <w:rPr>
          <w:rFonts w:ascii="Times New Roman" w:hAnsi="Times New Roman"/>
          <w:b/>
          <w:color w:val="000000"/>
          <w:sz w:val="20"/>
        </w:rPr>
        <w:t>*17</w:t>
      </w:r>
      <w:r>
        <w:rPr>
          <w:rFonts w:ascii="Times New Roman" w:hAnsi="Times New Roman"/>
          <w:color w:val="000000"/>
          <w:sz w:val="20"/>
        </w:rPr>
        <w:t xml:space="preserve"> language. </w:t>
      </w:r>
      <w:r>
        <w:rPr>
          <w:rFonts w:ascii="Times New Roman" w:hAnsi="Times New Roman"/>
          <w:color w:val="000000"/>
          <w:sz w:val="20"/>
        </w:rPr>
        <w:t xml:space="preserve">For example, in a case </w:t>
      </w:r>
      <w:proofErr w:type="gramStart"/>
      <w:r>
        <w:rPr>
          <w:rFonts w:ascii="Times New Roman" w:hAnsi="Times New Roman"/>
          <w:color w:val="000000"/>
          <w:sz w:val="20"/>
        </w:rPr>
        <w:t>similar to</w:t>
      </w:r>
      <w:proofErr w:type="gramEnd"/>
      <w:r>
        <w:rPr>
          <w:rFonts w:ascii="Times New Roman" w:hAnsi="Times New Roman"/>
          <w:color w:val="000000"/>
          <w:sz w:val="20"/>
        </w:rPr>
        <w:t xml:space="preserve"> this one, the court rejected the insurer's argument that a narro</w:t>
      </w:r>
      <w:r>
        <w:rPr>
          <w:rFonts w:ascii="Times New Roman" w:hAnsi="Times New Roman"/>
          <w:color w:val="000000"/>
          <w:sz w:val="20"/>
        </w:rPr>
        <w:t xml:space="preserve">w policy exclusion “for” breach of contract precluded all claims with a connection to the contract. </w:t>
      </w:r>
      <w:r>
        <w:rPr>
          <w:rFonts w:ascii="Times New Roman" w:hAnsi="Times New Roman"/>
          <w:color w:val="000000"/>
          <w:sz w:val="20"/>
        </w:rPr>
        <w:t>The court h</w:t>
      </w:r>
      <w:r>
        <w:rPr>
          <w:rFonts w:ascii="Times New Roman" w:hAnsi="Times New Roman"/>
          <w:color w:val="000000"/>
          <w:sz w:val="20"/>
        </w:rPr>
        <w:t xml:space="preserve">eld the exclusion's “plain language” only excluded </w:t>
      </w:r>
      <w:proofErr w:type="gramStart"/>
      <w:r>
        <w:rPr>
          <w:rFonts w:ascii="Times New Roman" w:hAnsi="Times New Roman"/>
          <w:color w:val="000000"/>
          <w:sz w:val="20"/>
        </w:rPr>
        <w:t>“ ‘</w:t>
      </w:r>
      <w:proofErr w:type="gramEnd"/>
      <w:r>
        <w:rPr>
          <w:rFonts w:ascii="Times New Roman" w:hAnsi="Times New Roman"/>
          <w:color w:val="000000"/>
          <w:sz w:val="20"/>
        </w:rPr>
        <w:t xml:space="preserve">a claim </w:t>
      </w:r>
      <w:r>
        <w:rPr>
          <w:rFonts w:ascii="Times New Roman" w:hAnsi="Times New Roman"/>
          <w:i/>
          <w:color w:val="000000"/>
          <w:sz w:val="20"/>
        </w:rPr>
        <w:t>for</w:t>
      </w:r>
      <w:r>
        <w:rPr>
          <w:rFonts w:ascii="Times New Roman" w:hAnsi="Times New Roman"/>
          <w:color w:val="000000"/>
          <w:sz w:val="20"/>
        </w:rPr>
        <w:t xml:space="preserve"> actual or alleged breach of contract,’ ” a narrower exclusion than one precluding liability for “ ‘any claim </w:t>
      </w:r>
      <w:r>
        <w:rPr>
          <w:rFonts w:ascii="Times New Roman" w:hAnsi="Times New Roman"/>
          <w:i/>
          <w:color w:val="000000"/>
          <w:sz w:val="20"/>
        </w:rPr>
        <w:t>arising out of</w:t>
      </w:r>
      <w:r>
        <w:rPr>
          <w:rFonts w:ascii="Times New Roman" w:hAnsi="Times New Roman"/>
          <w:color w:val="000000"/>
          <w:sz w:val="20"/>
        </w:rPr>
        <w:t xml:space="preserve"> breach of contract,’ or ‘for any claim </w:t>
      </w:r>
      <w:r>
        <w:rPr>
          <w:rFonts w:ascii="Times New Roman" w:hAnsi="Times New Roman"/>
          <w:i/>
          <w:color w:val="000000"/>
          <w:sz w:val="20"/>
        </w:rPr>
        <w:t>related to</w:t>
      </w:r>
      <w:r>
        <w:rPr>
          <w:rFonts w:ascii="Times New Roman" w:hAnsi="Times New Roman"/>
          <w:color w:val="000000"/>
          <w:sz w:val="20"/>
        </w:rPr>
        <w:t xml:space="preserve"> a breach of cont</w:t>
      </w:r>
      <w:r>
        <w:rPr>
          <w:rFonts w:ascii="Times New Roman" w:hAnsi="Times New Roman"/>
          <w:color w:val="000000"/>
          <w:sz w:val="20"/>
        </w:rPr>
        <w:t xml:space="preserve">ract.’ ” </w:t>
      </w:r>
      <w:r>
        <w:rPr>
          <w:rFonts w:ascii="Times New Roman" w:hAnsi="Times New Roman"/>
          <w:color w:val="000000"/>
          <w:sz w:val="20"/>
        </w:rPr>
        <w:t>The court observed the insurer had used “broader ‘arising out of’ and ‘based upon’ language” in other policy exclusions, demonstrating that the insurer's choice of narrower wording in the contract exclusi</w:t>
      </w:r>
      <w:r>
        <w:rPr>
          <w:rFonts w:ascii="Times New Roman" w:hAnsi="Times New Roman"/>
          <w:color w:val="000000"/>
          <w:sz w:val="20"/>
        </w:rPr>
        <w:t xml:space="preserve">on “was deliberate.” </w:t>
      </w:r>
    </w:p>
    <w:p w14:paraId="598A008C" w14:textId="77777777" w:rsidR="00625858" w:rsidRDefault="00AE398F">
      <w:pPr>
        <w:spacing w:after="0" w:line="275" w:lineRule="atLeast"/>
        <w:jc w:val="both"/>
      </w:pPr>
      <w:r>
        <w:rPr>
          <w:rFonts w:ascii="Times New Roman" w:hAnsi="Times New Roman"/>
          <w:color w:val="000000"/>
          <w:sz w:val="20"/>
        </w:rPr>
        <w:t> </w:t>
      </w:r>
    </w:p>
    <w:p w14:paraId="1E43F1C6" w14:textId="77777777" w:rsidR="00625858" w:rsidRDefault="00AE398F">
      <w:pPr>
        <w:spacing w:before="400" w:after="0" w:line="275" w:lineRule="atLeast"/>
        <w:jc w:val="center"/>
      </w:pPr>
      <w:r>
        <w:rPr>
          <w:rFonts w:ascii="Times New Roman" w:hAnsi="Times New Roman"/>
          <w:b/>
          <w:color w:val="000000"/>
          <w:sz w:val="20"/>
        </w:rPr>
        <w:t>II. Markel Breached Its Duty to Defend.</w:t>
      </w:r>
    </w:p>
    <w:p w14:paraId="2F9EF686" w14:textId="77777777" w:rsidR="00625858" w:rsidRDefault="00AE398F">
      <w:pPr>
        <w:spacing w:before="200" w:after="0" w:line="275" w:lineRule="atLeast"/>
        <w:jc w:val="both"/>
      </w:pPr>
      <w:r>
        <w:rPr>
          <w:rFonts w:ascii="Times New Roman" w:hAnsi="Times New Roman"/>
          <w:color w:val="000000"/>
          <w:sz w:val="20"/>
        </w:rPr>
        <w:t>The District Court's ruling that Markel had no duty to defend should be reversed. First, the District Court did not follow Alabama law outlining how the duty to defend must be a</w:t>
      </w:r>
      <w:r>
        <w:rPr>
          <w:rFonts w:ascii="Times New Roman" w:hAnsi="Times New Roman"/>
          <w:color w:val="000000"/>
          <w:sz w:val="20"/>
        </w:rPr>
        <w:t xml:space="preserve">nalyzed and incorrectly interpreted the Breach of Contract </w:t>
      </w:r>
      <w:r>
        <w:rPr>
          <w:rFonts w:ascii="Times New Roman" w:hAnsi="Times New Roman"/>
          <w:b/>
          <w:color w:val="000000"/>
          <w:sz w:val="20"/>
        </w:rPr>
        <w:t>*18</w:t>
      </w:r>
      <w:r>
        <w:rPr>
          <w:rFonts w:ascii="Times New Roman" w:hAnsi="Times New Roman"/>
          <w:color w:val="000000"/>
          <w:sz w:val="20"/>
        </w:rPr>
        <w:t xml:space="preserve"> Exclusion. Second, the Statement of Claim plainly alleged Wrongful Acts that did not fall within the Breach of Contract Exclusion - acts that did not create liability to Space Race “for” breach</w:t>
      </w:r>
      <w:r>
        <w:rPr>
          <w:rFonts w:ascii="Times New Roman" w:hAnsi="Times New Roman"/>
          <w:color w:val="000000"/>
          <w:sz w:val="20"/>
        </w:rPr>
        <w:t xml:space="preserve"> of contract because they were not breaches of any express term of the MOA. Third, even if those Wrongful Acts had been express breaches of contract, they also breached duties implied by law, creating an independent basis for liability falling within the e</w:t>
      </w:r>
      <w:r>
        <w:rPr>
          <w:rFonts w:ascii="Times New Roman" w:hAnsi="Times New Roman"/>
          <w:color w:val="000000"/>
          <w:sz w:val="20"/>
        </w:rPr>
        <w:t>xception to the exclusion.</w:t>
      </w:r>
    </w:p>
    <w:p w14:paraId="00643200" w14:textId="77777777" w:rsidR="00625858" w:rsidRDefault="00AE398F">
      <w:pPr>
        <w:spacing w:after="0" w:line="275" w:lineRule="atLeast"/>
        <w:jc w:val="both"/>
      </w:pPr>
      <w:r>
        <w:rPr>
          <w:rFonts w:ascii="Times New Roman" w:hAnsi="Times New Roman"/>
          <w:color w:val="000000"/>
          <w:sz w:val="20"/>
        </w:rPr>
        <w:t> </w:t>
      </w:r>
    </w:p>
    <w:p w14:paraId="1EDEC9C6" w14:textId="77777777" w:rsidR="00625858" w:rsidRDefault="00AE398F">
      <w:pPr>
        <w:spacing w:before="400" w:after="0" w:line="275" w:lineRule="atLeast"/>
        <w:jc w:val="center"/>
      </w:pPr>
      <w:r>
        <w:rPr>
          <w:rFonts w:ascii="Times New Roman" w:hAnsi="Times New Roman"/>
          <w:b/>
          <w:color w:val="000000"/>
          <w:sz w:val="20"/>
        </w:rPr>
        <w:t xml:space="preserve">A. </w:t>
      </w:r>
      <w:r>
        <w:rPr>
          <w:rFonts w:ascii="Times New Roman" w:hAnsi="Times New Roman"/>
          <w:b/>
          <w:i/>
          <w:color w:val="000000"/>
          <w:sz w:val="20"/>
        </w:rPr>
        <w:t>The District Court Did Not Follow the Proper Analysis.</w:t>
      </w:r>
    </w:p>
    <w:p w14:paraId="63EF6501" w14:textId="77777777" w:rsidR="00625858" w:rsidRDefault="00AE398F">
      <w:pPr>
        <w:spacing w:before="400" w:after="0" w:line="275" w:lineRule="atLeast"/>
        <w:jc w:val="center"/>
      </w:pPr>
      <w:r>
        <w:rPr>
          <w:rFonts w:ascii="Times New Roman" w:hAnsi="Times New Roman"/>
          <w:b/>
          <w:color w:val="000000"/>
          <w:sz w:val="20"/>
        </w:rPr>
        <w:t xml:space="preserve">1. </w:t>
      </w:r>
      <w:r>
        <w:rPr>
          <w:rFonts w:ascii="Times New Roman" w:hAnsi="Times New Roman"/>
          <w:b/>
          <w:i/>
          <w:color w:val="000000"/>
          <w:sz w:val="20"/>
        </w:rPr>
        <w:t>The District Court construed the Breach of Contract Exclusion broadly and in favor of Markel</w:t>
      </w:r>
      <w:r>
        <w:rPr>
          <w:rFonts w:ascii="Times New Roman" w:hAnsi="Times New Roman"/>
          <w:b/>
          <w:color w:val="000000"/>
          <w:sz w:val="20"/>
        </w:rPr>
        <w:t>.</w:t>
      </w:r>
    </w:p>
    <w:p w14:paraId="7202C8CD" w14:textId="21FF57E4" w:rsidR="00625858" w:rsidRDefault="00AE398F">
      <w:pPr>
        <w:spacing w:before="200" w:after="0" w:line="275" w:lineRule="atLeast"/>
        <w:jc w:val="both"/>
      </w:pPr>
      <w:r>
        <w:rPr>
          <w:rFonts w:ascii="Times New Roman" w:hAnsi="Times New Roman"/>
          <w:color w:val="000000"/>
          <w:sz w:val="20"/>
        </w:rPr>
        <w:t>In its analysis of Markel's duty to defend, the District Court did not apply any of the well-established rules of construction designed to protect an insured's contractual right to a defense. It did not construe the policy wording in favor of ASSEC and str</w:t>
      </w:r>
      <w:r>
        <w:rPr>
          <w:rFonts w:ascii="Times New Roman" w:hAnsi="Times New Roman"/>
          <w:color w:val="000000"/>
          <w:sz w:val="20"/>
        </w:rPr>
        <w:t>ictly against Markel as required</w:t>
      </w:r>
      <w:r>
        <w:rPr>
          <w:rFonts w:ascii="Times New Roman" w:hAnsi="Times New Roman"/>
          <w:color w:val="000000"/>
          <w:sz w:val="20"/>
        </w:rPr>
        <w:t xml:space="preserve"> but did just the opposite.</w:t>
      </w:r>
    </w:p>
    <w:p w14:paraId="6FDE60D2" w14:textId="77777777" w:rsidR="00625858" w:rsidRDefault="00AE398F">
      <w:pPr>
        <w:spacing w:after="0" w:line="275" w:lineRule="atLeast"/>
        <w:jc w:val="both"/>
      </w:pPr>
      <w:r>
        <w:rPr>
          <w:rFonts w:ascii="Times New Roman" w:hAnsi="Times New Roman"/>
          <w:color w:val="000000"/>
          <w:sz w:val="20"/>
        </w:rPr>
        <w:t> </w:t>
      </w:r>
    </w:p>
    <w:p w14:paraId="41355E56" w14:textId="77777777" w:rsidR="00625858" w:rsidRDefault="00AE398F">
      <w:pPr>
        <w:spacing w:after="0" w:line="275" w:lineRule="atLeast"/>
        <w:jc w:val="both"/>
      </w:pPr>
      <w:r>
        <w:rPr>
          <w:rFonts w:ascii="Times New Roman" w:hAnsi="Times New Roman"/>
          <w:color w:val="000000"/>
          <w:sz w:val="20"/>
        </w:rPr>
        <w:t xml:space="preserve">The District Court interpreted </w:t>
      </w:r>
      <w:r>
        <w:rPr>
          <w:rFonts w:ascii="Times New Roman" w:hAnsi="Times New Roman"/>
          <w:color w:val="000000"/>
          <w:sz w:val="20"/>
        </w:rPr>
        <w:t xml:space="preserve">the Breach of Contract Exclusion as having an extremely broad reach. It held that all of Space Race's allegations were excluded from coverage because they “related to” the MOA - wording that does not appear anywhere in the exclusion. Doc. 55 - </w:t>
      </w:r>
      <w:proofErr w:type="spellStart"/>
      <w:r>
        <w:rPr>
          <w:rFonts w:ascii="Times New Roman" w:hAnsi="Times New Roman"/>
          <w:color w:val="000000"/>
          <w:sz w:val="20"/>
        </w:rPr>
        <w:t>Pg</w:t>
      </w:r>
      <w:proofErr w:type="spellEnd"/>
      <w:r>
        <w:rPr>
          <w:rFonts w:ascii="Times New Roman" w:hAnsi="Times New Roman"/>
          <w:color w:val="000000"/>
          <w:sz w:val="20"/>
        </w:rPr>
        <w:t xml:space="preserve"> 18 (stati</w:t>
      </w:r>
      <w:r>
        <w:rPr>
          <w:rFonts w:ascii="Times New Roman" w:hAnsi="Times New Roman"/>
          <w:color w:val="000000"/>
          <w:sz w:val="20"/>
        </w:rPr>
        <w:t xml:space="preserve">ng Space Race's allegations “largely </w:t>
      </w:r>
      <w:r>
        <w:rPr>
          <w:rFonts w:ascii="Times New Roman" w:hAnsi="Times New Roman"/>
          <w:i/>
          <w:color w:val="000000"/>
          <w:sz w:val="20"/>
        </w:rPr>
        <w:t>relate to</w:t>
      </w:r>
      <w:r>
        <w:rPr>
          <w:rFonts w:ascii="Times New Roman" w:hAnsi="Times New Roman"/>
          <w:color w:val="000000"/>
          <w:sz w:val="20"/>
        </w:rPr>
        <w:t xml:space="preserve"> the ways Dr. Barnhart and her subordinate, Mr. Scott </w:t>
      </w:r>
      <w:proofErr w:type="spellStart"/>
      <w:r>
        <w:rPr>
          <w:rFonts w:ascii="Times New Roman" w:hAnsi="Times New Roman"/>
          <w:color w:val="000000"/>
          <w:sz w:val="20"/>
        </w:rPr>
        <w:t>Harbour</w:t>
      </w:r>
      <w:proofErr w:type="spellEnd"/>
      <w:r>
        <w:rPr>
          <w:rFonts w:ascii="Times New Roman" w:hAnsi="Times New Roman"/>
          <w:color w:val="000000"/>
          <w:sz w:val="20"/>
        </w:rPr>
        <w:t>, gummed up the works to prevent the pass through of NASA funds”; and that ASSEC's “ensuring those funds would never be made available ‘</w:t>
      </w:r>
      <w:r>
        <w:rPr>
          <w:rFonts w:ascii="Times New Roman" w:hAnsi="Times New Roman"/>
          <w:i/>
          <w:color w:val="000000"/>
          <w:sz w:val="20"/>
        </w:rPr>
        <w:t>related to’</w:t>
      </w:r>
      <w:r>
        <w:rPr>
          <w:rFonts w:ascii="Times New Roman" w:hAnsi="Times New Roman"/>
          <w:color w:val="000000"/>
          <w:sz w:val="20"/>
        </w:rPr>
        <w:t xml:space="preserve"> </w:t>
      </w:r>
      <w:r>
        <w:rPr>
          <w:rFonts w:ascii="Times New Roman" w:hAnsi="Times New Roman"/>
          <w:b/>
          <w:color w:val="000000"/>
          <w:sz w:val="20"/>
        </w:rPr>
        <w:t>*</w:t>
      </w:r>
      <w:r>
        <w:rPr>
          <w:rFonts w:ascii="Times New Roman" w:hAnsi="Times New Roman"/>
          <w:b/>
          <w:color w:val="000000"/>
          <w:sz w:val="20"/>
        </w:rPr>
        <w:t>19</w:t>
      </w:r>
      <w:r>
        <w:rPr>
          <w:rFonts w:ascii="Times New Roman" w:hAnsi="Times New Roman"/>
          <w:color w:val="000000"/>
          <w:sz w:val="20"/>
        </w:rPr>
        <w:t xml:space="preserve"> ASSEC's obligations under the MOA to provide funding as it was made available to ASSEC”) (emphasis added). The court declined to engage in an analysis of the effect of Markel's use of the word “for” rather than “based upon, arising out of, or in any way</w:t>
      </w:r>
      <w:r>
        <w:rPr>
          <w:rFonts w:ascii="Times New Roman" w:hAnsi="Times New Roman"/>
          <w:color w:val="000000"/>
          <w:sz w:val="20"/>
        </w:rPr>
        <w:t xml:space="preserve"> involving,” as used in other policy exclusions. Doc. 34-5 - </w:t>
      </w:r>
      <w:proofErr w:type="spellStart"/>
      <w:r>
        <w:rPr>
          <w:rFonts w:ascii="Times New Roman" w:hAnsi="Times New Roman"/>
          <w:color w:val="000000"/>
          <w:sz w:val="20"/>
        </w:rPr>
        <w:t>Pg</w:t>
      </w:r>
      <w:proofErr w:type="spellEnd"/>
      <w:r>
        <w:rPr>
          <w:rFonts w:ascii="Times New Roman" w:hAnsi="Times New Roman"/>
          <w:color w:val="000000"/>
          <w:sz w:val="20"/>
        </w:rPr>
        <w:t xml:space="preserve"> 30-32, § IV.A, B, G, H, I, J, and K. Instead, the court treated the issue as an afterthought, relegating it to a footnote.</w:t>
      </w:r>
      <w:bookmarkStart w:id="1" w:name="co_tablefootnote_3_1"/>
      <w:r>
        <w:fldChar w:fldCharType="begin"/>
      </w:r>
      <w:r>
        <w:instrText xml:space="preserve"> HYPERLINK \l "co_tablefootnoteblock_3_1" \h </w:instrText>
      </w:r>
      <w:r>
        <w:fldChar w:fldCharType="separate"/>
      </w:r>
      <w:r>
        <w:rPr>
          <w:rFonts w:ascii="Times New Roman" w:hAnsi="Times New Roman"/>
          <w:color w:val="0E568C"/>
          <w:sz w:val="16"/>
          <w:vertAlign w:val="superscript"/>
        </w:rPr>
        <w:t>3</w:t>
      </w:r>
      <w:r>
        <w:rPr>
          <w:rFonts w:ascii="Times New Roman" w:hAnsi="Times New Roman"/>
          <w:color w:val="0E568C"/>
          <w:sz w:val="16"/>
          <w:vertAlign w:val="superscript"/>
        </w:rPr>
        <w:fldChar w:fldCharType="end"/>
      </w:r>
      <w:bookmarkEnd w:id="1"/>
      <w:r>
        <w:rPr>
          <w:rFonts w:ascii="Times New Roman" w:hAnsi="Times New Roman"/>
          <w:color w:val="000000"/>
          <w:sz w:val="20"/>
        </w:rPr>
        <w:t xml:space="preserve"> Doc. 55 at 20 n.32.</w:t>
      </w:r>
    </w:p>
    <w:p w14:paraId="3770E16F" w14:textId="77777777" w:rsidR="00625858" w:rsidRDefault="00AE398F">
      <w:pPr>
        <w:spacing w:after="0" w:line="275" w:lineRule="atLeast"/>
        <w:jc w:val="both"/>
      </w:pPr>
      <w:r>
        <w:rPr>
          <w:rFonts w:ascii="Times New Roman" w:hAnsi="Times New Roman"/>
          <w:color w:val="000000"/>
          <w:sz w:val="20"/>
        </w:rPr>
        <w:t> </w:t>
      </w:r>
    </w:p>
    <w:p w14:paraId="00853126" w14:textId="77777777" w:rsidR="00625858" w:rsidRDefault="00AE398F">
      <w:pPr>
        <w:spacing w:after="0" w:line="275" w:lineRule="atLeast"/>
        <w:jc w:val="both"/>
      </w:pPr>
      <w:r>
        <w:rPr>
          <w:rFonts w:ascii="Times New Roman" w:hAnsi="Times New Roman"/>
          <w:color w:val="000000"/>
          <w:sz w:val="20"/>
        </w:rPr>
        <w:t>To this day, Markel has never explained why the Breach of Contract Exclusion and the broader exclusion it applied by mistake both resulted in a denial of coverage. Markel knew “it was important to appreciate the nuances and differences between the differ</w:t>
      </w:r>
      <w:r>
        <w:rPr>
          <w:rFonts w:ascii="Times New Roman" w:hAnsi="Times New Roman"/>
          <w:color w:val="000000"/>
          <w:sz w:val="20"/>
        </w:rPr>
        <w:t xml:space="preserve">ent breach of contract exclusions,” Doc. 34-32 - </w:t>
      </w:r>
      <w:proofErr w:type="spellStart"/>
      <w:r>
        <w:rPr>
          <w:rFonts w:ascii="Times New Roman" w:hAnsi="Times New Roman"/>
          <w:color w:val="000000"/>
          <w:sz w:val="20"/>
        </w:rPr>
        <w:t>Pg</w:t>
      </w:r>
      <w:proofErr w:type="spellEnd"/>
      <w:r>
        <w:rPr>
          <w:rFonts w:ascii="Times New Roman" w:hAnsi="Times New Roman"/>
          <w:color w:val="000000"/>
          <w:sz w:val="20"/>
        </w:rPr>
        <w:t xml:space="preserve"> 44 (162:10). However, it continued to wield the broad </w:t>
      </w:r>
      <w:r>
        <w:rPr>
          <w:rFonts w:ascii="Times New Roman" w:hAnsi="Times New Roman"/>
          <w:color w:val="000000"/>
          <w:sz w:val="20"/>
        </w:rPr>
        <w:lastRenderedPageBreak/>
        <w:t xml:space="preserve">version of the breach-of-contract exclusion against ASSEC when it argued that the “Judiciary Act Claim </w:t>
      </w:r>
      <w:r>
        <w:rPr>
          <w:rFonts w:ascii="Times New Roman" w:hAnsi="Times New Roman"/>
          <w:i/>
          <w:color w:val="000000"/>
          <w:sz w:val="20"/>
        </w:rPr>
        <w:t>arises from</w:t>
      </w:r>
      <w:r>
        <w:rPr>
          <w:rFonts w:ascii="Times New Roman" w:hAnsi="Times New Roman"/>
          <w:color w:val="000000"/>
          <w:sz w:val="20"/>
        </w:rPr>
        <w:t xml:space="preserve"> the breach of contract asserted in </w:t>
      </w:r>
      <w:r>
        <w:rPr>
          <w:rFonts w:ascii="Times New Roman" w:hAnsi="Times New Roman"/>
          <w:color w:val="000000"/>
          <w:sz w:val="20"/>
        </w:rPr>
        <w:t>the Arbitration Claim.” Doc. 16 - Pg14, ¶44 (emphasis added).</w:t>
      </w:r>
    </w:p>
    <w:p w14:paraId="10BB3FC5" w14:textId="77777777" w:rsidR="00625858" w:rsidRDefault="00AE398F">
      <w:pPr>
        <w:spacing w:after="0" w:line="275" w:lineRule="atLeast"/>
        <w:jc w:val="both"/>
      </w:pPr>
      <w:r>
        <w:rPr>
          <w:rFonts w:ascii="Times New Roman" w:hAnsi="Times New Roman"/>
          <w:color w:val="000000"/>
          <w:sz w:val="20"/>
        </w:rPr>
        <w:t> </w:t>
      </w:r>
    </w:p>
    <w:p w14:paraId="7A8A2E8C" w14:textId="3D3EC7F2" w:rsidR="00625858" w:rsidRDefault="00AE398F">
      <w:pPr>
        <w:spacing w:after="0" w:line="275" w:lineRule="atLeast"/>
        <w:jc w:val="both"/>
      </w:pPr>
      <w:r>
        <w:rPr>
          <w:rFonts w:ascii="Times New Roman" w:hAnsi="Times New Roman"/>
          <w:color w:val="000000"/>
          <w:sz w:val="20"/>
        </w:rPr>
        <w:t xml:space="preserve">If Markel had wanted to exclude liability for claims “arising from” or “related to” a breach of contract, it easily could have. Markel's use of the broader wording </w:t>
      </w:r>
      <w:r>
        <w:rPr>
          <w:rFonts w:ascii="Times New Roman" w:hAnsi="Times New Roman"/>
          <w:b/>
          <w:color w:val="000000"/>
          <w:sz w:val="20"/>
        </w:rPr>
        <w:t>*20</w:t>
      </w:r>
      <w:r>
        <w:rPr>
          <w:rFonts w:ascii="Times New Roman" w:hAnsi="Times New Roman"/>
          <w:color w:val="000000"/>
          <w:sz w:val="20"/>
        </w:rPr>
        <w:t xml:space="preserve"> in other exclusions demo</w:t>
      </w:r>
      <w:r>
        <w:rPr>
          <w:rFonts w:ascii="Times New Roman" w:hAnsi="Times New Roman"/>
          <w:color w:val="000000"/>
          <w:sz w:val="20"/>
        </w:rPr>
        <w:t xml:space="preserve">nstrated the Breach of Contract Exclusion was intended to be narrow. </w:t>
      </w:r>
      <w:r>
        <w:rPr>
          <w:rFonts w:ascii="Times New Roman" w:hAnsi="Times New Roman"/>
          <w:color w:val="000000"/>
          <w:sz w:val="20"/>
        </w:rPr>
        <w:t xml:space="preserve">Markel cannot rewrite the policy to expand the scope of the Breach of Contract </w:t>
      </w:r>
      <w:proofErr w:type="gramStart"/>
      <w:r>
        <w:rPr>
          <w:rFonts w:ascii="Times New Roman" w:hAnsi="Times New Roman"/>
          <w:color w:val="000000"/>
          <w:sz w:val="20"/>
        </w:rPr>
        <w:t>Exclusion</w:t>
      </w:r>
      <w:proofErr w:type="gramEnd"/>
      <w:r>
        <w:rPr>
          <w:rFonts w:ascii="Times New Roman" w:hAnsi="Times New Roman"/>
          <w:color w:val="000000"/>
          <w:sz w:val="20"/>
        </w:rPr>
        <w:t xml:space="preserve"> and neither could the District Court. When correctly interpreted as narrowly as possible and in favor of coverage, </w:t>
      </w:r>
      <w:r>
        <w:rPr>
          <w:rFonts w:ascii="Times New Roman" w:hAnsi="Times New Roman"/>
          <w:color w:val="000000"/>
          <w:sz w:val="20"/>
        </w:rPr>
        <w:t xml:space="preserve">the Breach of Contract Exclusion excludes only ASSEC's liability to Space Race under the express terms of the contract between them, the MOA. </w:t>
      </w:r>
    </w:p>
    <w:p w14:paraId="2228AF3A" w14:textId="77777777" w:rsidR="00625858" w:rsidRDefault="00AE398F">
      <w:pPr>
        <w:spacing w:after="0" w:line="275" w:lineRule="atLeast"/>
        <w:jc w:val="both"/>
      </w:pPr>
      <w:r>
        <w:rPr>
          <w:rFonts w:ascii="Times New Roman" w:hAnsi="Times New Roman"/>
          <w:color w:val="000000"/>
          <w:sz w:val="20"/>
        </w:rPr>
        <w:t> </w:t>
      </w:r>
    </w:p>
    <w:p w14:paraId="0DD717C5" w14:textId="77777777" w:rsidR="00625858" w:rsidRDefault="00AE398F">
      <w:pPr>
        <w:spacing w:before="400" w:after="0" w:line="275" w:lineRule="atLeast"/>
        <w:jc w:val="center"/>
      </w:pPr>
      <w:r>
        <w:rPr>
          <w:rFonts w:ascii="Times New Roman" w:hAnsi="Times New Roman"/>
          <w:b/>
          <w:color w:val="000000"/>
          <w:sz w:val="20"/>
        </w:rPr>
        <w:t xml:space="preserve">2. </w:t>
      </w:r>
      <w:r>
        <w:rPr>
          <w:rFonts w:ascii="Times New Roman" w:hAnsi="Times New Roman"/>
          <w:b/>
          <w:i/>
          <w:color w:val="000000"/>
          <w:sz w:val="20"/>
        </w:rPr>
        <w:t>The District Court viewed Space Race's allegations narrowly</w:t>
      </w:r>
      <w:r>
        <w:rPr>
          <w:rFonts w:ascii="Times New Roman" w:hAnsi="Times New Roman"/>
          <w:b/>
          <w:color w:val="000000"/>
          <w:sz w:val="20"/>
        </w:rPr>
        <w:t>.</w:t>
      </w:r>
    </w:p>
    <w:p w14:paraId="101922C9" w14:textId="73BD7388" w:rsidR="00625858" w:rsidRDefault="00AE398F" w:rsidP="00AB310B">
      <w:pPr>
        <w:spacing w:before="200" w:after="0" w:line="275" w:lineRule="atLeast"/>
        <w:jc w:val="both"/>
        <w:rPr>
          <w:rFonts w:ascii="Times New Roman" w:hAnsi="Times New Roman"/>
          <w:color w:val="000000"/>
          <w:sz w:val="20"/>
        </w:rPr>
      </w:pPr>
      <w:r>
        <w:rPr>
          <w:rFonts w:ascii="Times New Roman" w:hAnsi="Times New Roman"/>
          <w:color w:val="000000"/>
          <w:sz w:val="20"/>
        </w:rPr>
        <w:t xml:space="preserve">Instead of looking for “any potential for coverage,” </w:t>
      </w:r>
      <w:r>
        <w:rPr>
          <w:rFonts w:ascii="Times New Roman" w:hAnsi="Times New Roman"/>
          <w:color w:val="000000"/>
          <w:sz w:val="20"/>
        </w:rPr>
        <w:t>the District Court again did just the opposite, taking a narrow view of the allegations. It went so far as to hold that the “Summary of the Action” portio</w:t>
      </w:r>
      <w:r>
        <w:rPr>
          <w:rFonts w:ascii="Times New Roman" w:hAnsi="Times New Roman"/>
          <w:color w:val="000000"/>
          <w:sz w:val="20"/>
        </w:rPr>
        <w:t xml:space="preserve">n of the Statement of Claim could be ignored. </w:t>
      </w:r>
    </w:p>
    <w:p w14:paraId="4606113B" w14:textId="77777777" w:rsidR="00AB310B" w:rsidRDefault="00AB310B" w:rsidP="00AB310B">
      <w:pPr>
        <w:spacing w:before="200" w:after="0" w:line="275" w:lineRule="atLeast"/>
        <w:jc w:val="both"/>
      </w:pPr>
    </w:p>
    <w:p w14:paraId="2F582887" w14:textId="56355516" w:rsidR="00625858" w:rsidRDefault="00AE398F">
      <w:pPr>
        <w:spacing w:after="0" w:line="275" w:lineRule="atLeast"/>
        <w:jc w:val="both"/>
      </w:pPr>
      <w:r>
        <w:rPr>
          <w:rFonts w:ascii="Times New Roman" w:hAnsi="Times New Roman"/>
          <w:color w:val="000000"/>
          <w:sz w:val="20"/>
        </w:rPr>
        <w:t>T</w:t>
      </w:r>
      <w:r>
        <w:rPr>
          <w:rFonts w:ascii="Times New Roman" w:hAnsi="Times New Roman"/>
          <w:color w:val="000000"/>
          <w:sz w:val="20"/>
        </w:rPr>
        <w:t xml:space="preserve">he court appeared to hold ASSEC to the standard for a motion to dismiss, asking ASSEC's </w:t>
      </w:r>
      <w:r>
        <w:rPr>
          <w:rFonts w:ascii="Times New Roman" w:hAnsi="Times New Roman"/>
          <w:color w:val="000000"/>
          <w:sz w:val="20"/>
        </w:rPr>
        <w:t xml:space="preserve">counsel during the summary judgment hearing to “articulate the elements of any tort and cite to where those elements are in the complaint.” Transcript of Hearing - </w:t>
      </w:r>
      <w:proofErr w:type="spellStart"/>
      <w:r>
        <w:rPr>
          <w:rFonts w:ascii="Times New Roman" w:hAnsi="Times New Roman"/>
          <w:color w:val="000000"/>
          <w:sz w:val="20"/>
        </w:rPr>
        <w:t>Pg</w:t>
      </w:r>
      <w:proofErr w:type="spellEnd"/>
      <w:r>
        <w:rPr>
          <w:rFonts w:ascii="Times New Roman" w:hAnsi="Times New Roman"/>
          <w:color w:val="000000"/>
          <w:sz w:val="20"/>
        </w:rPr>
        <w:t xml:space="preserve"> 24. But neither ASSEC's policy nor the law require the assertion of a “cause of action” o</w:t>
      </w:r>
      <w:r>
        <w:rPr>
          <w:rFonts w:ascii="Times New Roman" w:hAnsi="Times New Roman"/>
          <w:color w:val="000000"/>
          <w:sz w:val="20"/>
        </w:rPr>
        <w:t xml:space="preserve">r the elements of a cause of action to trigger </w:t>
      </w:r>
      <w:r>
        <w:rPr>
          <w:rFonts w:ascii="Times New Roman" w:hAnsi="Times New Roman"/>
          <w:b/>
          <w:color w:val="000000"/>
          <w:sz w:val="20"/>
        </w:rPr>
        <w:t>*21</w:t>
      </w:r>
      <w:r>
        <w:rPr>
          <w:rFonts w:ascii="Times New Roman" w:hAnsi="Times New Roman"/>
          <w:color w:val="000000"/>
          <w:sz w:val="20"/>
        </w:rPr>
        <w:t xml:space="preserve"> coverage. </w:t>
      </w:r>
      <w:r>
        <w:rPr>
          <w:rFonts w:ascii="Times New Roman" w:hAnsi="Times New Roman"/>
          <w:color w:val="000000"/>
          <w:sz w:val="20"/>
        </w:rPr>
        <w:t>The defense duty is triggered even by meritless potential claims that could later be dismissed</w:t>
      </w:r>
      <w:r w:rsidR="00AB310B">
        <w:rPr>
          <w:rFonts w:ascii="Times New Roman" w:hAnsi="Times New Roman"/>
          <w:color w:val="000000"/>
          <w:sz w:val="20"/>
        </w:rPr>
        <w:t xml:space="preserve">. </w:t>
      </w:r>
      <w:r>
        <w:rPr>
          <w:rFonts w:ascii="Times New Roman" w:hAnsi="Times New Roman"/>
          <w:color w:val="000000"/>
          <w:sz w:val="20"/>
        </w:rPr>
        <w:t xml:space="preserve">What matters is whether any of the allegations about ASSEC's conduct arguably fall within the definition of a “Wrongful Act” - a “misleading statement, act, omission, neglect, or breach of </w:t>
      </w:r>
      <w:r>
        <w:rPr>
          <w:rFonts w:ascii="Times New Roman" w:hAnsi="Times New Roman"/>
          <w:color w:val="000000"/>
          <w:sz w:val="20"/>
        </w:rPr>
        <w:t xml:space="preserve">duty.” </w:t>
      </w:r>
      <w:r>
        <w:rPr>
          <w:rFonts w:ascii="Times New Roman" w:hAnsi="Times New Roman"/>
          <w:color w:val="000000"/>
          <w:sz w:val="20"/>
        </w:rPr>
        <w:t xml:space="preserve">They unquestionably do. The District Court itself found that the Statement of Claim alleged “misleading statements” and “instances of neglect” by Dr. Barnhart and Scott </w:t>
      </w:r>
      <w:proofErr w:type="spellStart"/>
      <w:r>
        <w:rPr>
          <w:rFonts w:ascii="Times New Roman" w:hAnsi="Times New Roman"/>
          <w:color w:val="000000"/>
          <w:sz w:val="20"/>
        </w:rPr>
        <w:t>Harbour</w:t>
      </w:r>
      <w:proofErr w:type="spellEnd"/>
      <w:r>
        <w:rPr>
          <w:rFonts w:ascii="Times New Roman" w:hAnsi="Times New Roman"/>
          <w:color w:val="000000"/>
          <w:sz w:val="20"/>
        </w:rPr>
        <w:t xml:space="preserve"> that caused NASA to withhold the remai</w:t>
      </w:r>
      <w:r>
        <w:rPr>
          <w:rFonts w:ascii="Times New Roman" w:hAnsi="Times New Roman"/>
          <w:color w:val="000000"/>
          <w:sz w:val="20"/>
        </w:rPr>
        <w:t>ning funding. Doc. 55 at 18-19, 21. The District Court's holding that Space Race did not allege a Wrongful Act is inconsistent with its findings. Further, Markel had already admitted in the Denial Letter that the allegations constituted a “Claim,” which by</w:t>
      </w:r>
      <w:r>
        <w:rPr>
          <w:rFonts w:ascii="Times New Roman" w:hAnsi="Times New Roman"/>
          <w:color w:val="000000"/>
          <w:sz w:val="20"/>
        </w:rPr>
        <w:t xml:space="preserve"> definition requires “a Wrongful Act.” </w:t>
      </w:r>
    </w:p>
    <w:p w14:paraId="64177CA9" w14:textId="77777777" w:rsidR="00625858" w:rsidRDefault="00AE398F">
      <w:pPr>
        <w:spacing w:after="0" w:line="275" w:lineRule="atLeast"/>
        <w:jc w:val="both"/>
      </w:pPr>
      <w:r>
        <w:rPr>
          <w:rFonts w:ascii="Times New Roman" w:hAnsi="Times New Roman"/>
          <w:color w:val="000000"/>
          <w:sz w:val="20"/>
        </w:rPr>
        <w:t> </w:t>
      </w:r>
    </w:p>
    <w:p w14:paraId="74165361" w14:textId="01BCB33B" w:rsidR="00625858" w:rsidRDefault="00AE398F">
      <w:pPr>
        <w:spacing w:after="0" w:line="275" w:lineRule="atLeast"/>
        <w:jc w:val="both"/>
      </w:pPr>
      <w:r>
        <w:rPr>
          <w:rFonts w:ascii="Times New Roman" w:hAnsi="Times New Roman"/>
          <w:color w:val="000000"/>
          <w:sz w:val="20"/>
        </w:rPr>
        <w:t>The plethora of allegations of wrongdoing in the Statement of Claim suggest potential liability for torts such as negligence, misrepresentation, breach of fiduciary dut</w:t>
      </w:r>
      <w:r>
        <w:rPr>
          <w:rFonts w:ascii="Times New Roman" w:hAnsi="Times New Roman"/>
          <w:color w:val="000000"/>
          <w:sz w:val="20"/>
        </w:rPr>
        <w:t>y, and wantonness</w:t>
      </w:r>
      <w:r w:rsidR="00AB310B">
        <w:rPr>
          <w:rFonts w:ascii="Times New Roman" w:hAnsi="Times New Roman"/>
          <w:color w:val="000000"/>
          <w:sz w:val="20"/>
        </w:rPr>
        <w:t xml:space="preserve">. </w:t>
      </w:r>
      <w:r>
        <w:rPr>
          <w:rFonts w:ascii="Times New Roman" w:hAnsi="Times New Roman"/>
          <w:color w:val="000000"/>
          <w:sz w:val="20"/>
        </w:rPr>
        <w:t>None are based on lia</w:t>
      </w:r>
      <w:r>
        <w:rPr>
          <w:rFonts w:ascii="Times New Roman" w:hAnsi="Times New Roman"/>
          <w:color w:val="000000"/>
          <w:sz w:val="20"/>
        </w:rPr>
        <w:t>bility “for” breach of contract and all fall within the exception to the exclusion.</w:t>
      </w:r>
    </w:p>
    <w:p w14:paraId="1789B756" w14:textId="77777777" w:rsidR="00625858" w:rsidRDefault="00AE398F">
      <w:pPr>
        <w:spacing w:after="0" w:line="275" w:lineRule="atLeast"/>
        <w:jc w:val="both"/>
      </w:pPr>
      <w:r>
        <w:rPr>
          <w:rFonts w:ascii="Times New Roman" w:hAnsi="Times New Roman"/>
          <w:color w:val="000000"/>
          <w:sz w:val="20"/>
        </w:rPr>
        <w:t> </w:t>
      </w:r>
    </w:p>
    <w:p w14:paraId="194B24E7" w14:textId="77777777" w:rsidR="00625858" w:rsidRDefault="00AE398F">
      <w:pPr>
        <w:spacing w:before="400" w:after="0" w:line="275" w:lineRule="atLeast"/>
        <w:jc w:val="center"/>
      </w:pPr>
      <w:r>
        <w:rPr>
          <w:rFonts w:ascii="Times New Roman" w:hAnsi="Times New Roman"/>
          <w:b/>
          <w:color w:val="000000"/>
          <w:sz w:val="20"/>
        </w:rPr>
        <w:t xml:space="preserve">*22 B. </w:t>
      </w:r>
      <w:r>
        <w:rPr>
          <w:rFonts w:ascii="Times New Roman" w:hAnsi="Times New Roman"/>
          <w:b/>
          <w:i/>
          <w:color w:val="000000"/>
          <w:sz w:val="20"/>
        </w:rPr>
        <w:t>ASSEC's Alleged Breach of Implied Duties Created Independent Liability Outside the Breach of Contract Exclusion and Within the Exception to the Exclusion.</w:t>
      </w:r>
    </w:p>
    <w:p w14:paraId="72D37068" w14:textId="77777777" w:rsidR="00625858" w:rsidRDefault="00AE398F">
      <w:pPr>
        <w:spacing w:before="400" w:after="0" w:line="275" w:lineRule="atLeast"/>
        <w:jc w:val="center"/>
      </w:pPr>
      <w:r>
        <w:rPr>
          <w:rFonts w:ascii="Times New Roman" w:hAnsi="Times New Roman"/>
          <w:b/>
          <w:color w:val="000000"/>
          <w:sz w:val="20"/>
        </w:rPr>
        <w:t xml:space="preserve">1. </w:t>
      </w:r>
      <w:r>
        <w:rPr>
          <w:rFonts w:ascii="Times New Roman" w:hAnsi="Times New Roman"/>
          <w:b/>
          <w:i/>
          <w:color w:val="000000"/>
          <w:sz w:val="20"/>
        </w:rPr>
        <w:t>The S</w:t>
      </w:r>
      <w:r>
        <w:rPr>
          <w:rFonts w:ascii="Times New Roman" w:hAnsi="Times New Roman"/>
          <w:b/>
          <w:i/>
          <w:color w:val="000000"/>
          <w:sz w:val="20"/>
        </w:rPr>
        <w:t>tatement of Claim alleges breach of the implied duty of good faith and fair dealing and the implied duty to properly perform</w:t>
      </w:r>
      <w:r>
        <w:rPr>
          <w:rFonts w:ascii="Times New Roman" w:hAnsi="Times New Roman"/>
          <w:b/>
          <w:color w:val="000000"/>
          <w:sz w:val="20"/>
        </w:rPr>
        <w:t>.</w:t>
      </w:r>
    </w:p>
    <w:p w14:paraId="348C325A" w14:textId="642678CF" w:rsidR="00625858" w:rsidRDefault="00AE398F">
      <w:pPr>
        <w:spacing w:before="200" w:after="0" w:line="275" w:lineRule="atLeast"/>
        <w:jc w:val="both"/>
      </w:pPr>
      <w:r>
        <w:rPr>
          <w:rFonts w:ascii="Times New Roman" w:hAnsi="Times New Roman"/>
          <w:color w:val="000000"/>
          <w:sz w:val="20"/>
        </w:rPr>
        <w:t>The District Court's own findings show that the Statement of Claim alleged Wrongful Acts independent of the express terms of the M</w:t>
      </w:r>
      <w:r>
        <w:rPr>
          <w:rFonts w:ascii="Times New Roman" w:hAnsi="Times New Roman"/>
          <w:color w:val="000000"/>
          <w:sz w:val="20"/>
        </w:rPr>
        <w:t xml:space="preserve">OA. The court found that the Statement of Claim asserted that Dr. Barnhart “actively undermined the CAN and the MOA, resulting in NASA's refusal to fund </w:t>
      </w:r>
      <w:r>
        <w:rPr>
          <w:rFonts w:ascii="Times New Roman" w:hAnsi="Times New Roman"/>
          <w:i/>
          <w:color w:val="000000"/>
          <w:sz w:val="20"/>
        </w:rPr>
        <w:t>Space Racers</w:t>
      </w:r>
      <w:r>
        <w:rPr>
          <w:rFonts w:ascii="Times New Roman" w:hAnsi="Times New Roman"/>
          <w:color w:val="000000"/>
          <w:sz w:val="20"/>
        </w:rPr>
        <w:t>.” Doc. 55 at 7. This is a classic example of a breach of the implied duty of good faith an</w:t>
      </w:r>
      <w:r>
        <w:rPr>
          <w:rFonts w:ascii="Times New Roman" w:hAnsi="Times New Roman"/>
          <w:color w:val="000000"/>
          <w:sz w:val="20"/>
        </w:rPr>
        <w:t>d fair dealing</w:t>
      </w:r>
      <w:r w:rsidR="00391FE2">
        <w:rPr>
          <w:rFonts w:ascii="Times New Roman" w:hAnsi="Times New Roman"/>
          <w:color w:val="000000"/>
          <w:sz w:val="20"/>
        </w:rPr>
        <w:t xml:space="preserve">. </w:t>
      </w:r>
      <w:r>
        <w:rPr>
          <w:rFonts w:ascii="Times New Roman" w:hAnsi="Times New Roman"/>
          <w:color w:val="000000"/>
          <w:sz w:val="20"/>
        </w:rPr>
        <w:t>Indeed, Space Race specifically alleged that ASSEC breached the i</w:t>
      </w:r>
      <w:r>
        <w:rPr>
          <w:rFonts w:ascii="Times New Roman" w:hAnsi="Times New Roman"/>
          <w:color w:val="000000"/>
          <w:sz w:val="20"/>
        </w:rPr>
        <w:t xml:space="preserve">mplied duty of good faith and fair dealing by failing to submit a written request to NASA for funding - an obligation not included in the MOA. Doc. 34-4 - </w:t>
      </w:r>
      <w:proofErr w:type="spellStart"/>
      <w:r>
        <w:rPr>
          <w:rFonts w:ascii="Times New Roman" w:hAnsi="Times New Roman"/>
          <w:color w:val="000000"/>
          <w:sz w:val="20"/>
        </w:rPr>
        <w:t>Pg</w:t>
      </w:r>
      <w:proofErr w:type="spellEnd"/>
      <w:r>
        <w:rPr>
          <w:rFonts w:ascii="Times New Roman" w:hAnsi="Times New Roman"/>
          <w:color w:val="000000"/>
          <w:sz w:val="20"/>
        </w:rPr>
        <w:t xml:space="preserve"> 20, ¶67; Doc. 55 - </w:t>
      </w:r>
      <w:proofErr w:type="spellStart"/>
      <w:r>
        <w:rPr>
          <w:rFonts w:ascii="Times New Roman" w:hAnsi="Times New Roman"/>
          <w:color w:val="000000"/>
          <w:sz w:val="20"/>
        </w:rPr>
        <w:t>Pg</w:t>
      </w:r>
      <w:proofErr w:type="spellEnd"/>
      <w:r>
        <w:rPr>
          <w:rFonts w:ascii="Times New Roman" w:hAnsi="Times New Roman"/>
          <w:color w:val="000000"/>
          <w:sz w:val="20"/>
        </w:rPr>
        <w:t xml:space="preserve"> 4-5. In its post-arbitration brief, Space Race continued to argue that ASSEC</w:t>
      </w:r>
      <w:r>
        <w:rPr>
          <w:rFonts w:ascii="Times New Roman" w:hAnsi="Times New Roman"/>
          <w:color w:val="000000"/>
          <w:sz w:val="20"/>
        </w:rPr>
        <w:t xml:space="preserve"> acted “in bad faith” by secretly agreeing with NASA not to fund the third year. Doc. 38-6 - </w:t>
      </w:r>
      <w:proofErr w:type="spellStart"/>
      <w:r>
        <w:rPr>
          <w:rFonts w:ascii="Times New Roman" w:hAnsi="Times New Roman"/>
          <w:color w:val="000000"/>
          <w:sz w:val="20"/>
        </w:rPr>
        <w:t>Pg</w:t>
      </w:r>
      <w:proofErr w:type="spellEnd"/>
      <w:r>
        <w:rPr>
          <w:rFonts w:ascii="Times New Roman" w:hAnsi="Times New Roman"/>
          <w:color w:val="000000"/>
          <w:sz w:val="20"/>
        </w:rPr>
        <w:t xml:space="preserve"> 6. </w:t>
      </w:r>
      <w:r>
        <w:rPr>
          <w:rFonts w:ascii="Times New Roman" w:hAnsi="Times New Roman"/>
          <w:i/>
          <w:color w:val="000000"/>
          <w:sz w:val="20"/>
        </w:rPr>
        <w:t>See id</w:t>
      </w:r>
      <w:r>
        <w:rPr>
          <w:rFonts w:ascii="Times New Roman" w:hAnsi="Times New Roman"/>
          <w:color w:val="000000"/>
          <w:sz w:val="20"/>
        </w:rPr>
        <w:t xml:space="preserve">. at </w:t>
      </w:r>
      <w:proofErr w:type="spellStart"/>
      <w:r>
        <w:rPr>
          <w:rFonts w:ascii="Times New Roman" w:hAnsi="Times New Roman"/>
          <w:color w:val="000000"/>
          <w:sz w:val="20"/>
        </w:rPr>
        <w:t>Pg</w:t>
      </w:r>
      <w:proofErr w:type="spellEnd"/>
      <w:r>
        <w:rPr>
          <w:rFonts w:ascii="Times New Roman" w:hAnsi="Times New Roman"/>
          <w:color w:val="000000"/>
          <w:sz w:val="20"/>
        </w:rPr>
        <w:t xml:space="preserve"> 14 (arguing that ASSEC's “scheme” to deprive it of year-three funding “is the epitome of bad faith”). For coverage purposes, it is of no </w:t>
      </w:r>
      <w:r>
        <w:rPr>
          <w:rFonts w:ascii="Times New Roman" w:hAnsi="Times New Roman"/>
          <w:color w:val="000000"/>
          <w:sz w:val="20"/>
        </w:rPr>
        <w:lastRenderedPageBreak/>
        <w:t>moment</w:t>
      </w:r>
      <w:r>
        <w:rPr>
          <w:rFonts w:ascii="Times New Roman" w:hAnsi="Times New Roman"/>
          <w:color w:val="000000"/>
          <w:sz w:val="20"/>
        </w:rPr>
        <w:t xml:space="preserve"> that Alabama does not recognize a cause of action for breach of the good faith duty </w:t>
      </w:r>
      <w:r>
        <w:rPr>
          <w:rFonts w:ascii="Times New Roman" w:hAnsi="Times New Roman"/>
          <w:b/>
          <w:color w:val="000000"/>
          <w:sz w:val="20"/>
        </w:rPr>
        <w:t>*23</w:t>
      </w:r>
      <w:r>
        <w:rPr>
          <w:rFonts w:ascii="Times New Roman" w:hAnsi="Times New Roman"/>
          <w:color w:val="000000"/>
          <w:sz w:val="20"/>
        </w:rPr>
        <w:t xml:space="preserve"> outside of the insurance context.</w:t>
      </w:r>
      <w:bookmarkStart w:id="2" w:name="co_tablefootnote_4_1"/>
      <w:r>
        <w:fldChar w:fldCharType="begin"/>
      </w:r>
      <w:r>
        <w:instrText xml:space="preserve"> HYPERLINK \l "co_tablefootnoteblock_4_1" \h </w:instrText>
      </w:r>
      <w:r>
        <w:fldChar w:fldCharType="separate"/>
      </w:r>
      <w:r>
        <w:rPr>
          <w:rFonts w:ascii="Times New Roman" w:hAnsi="Times New Roman"/>
          <w:color w:val="0E568C"/>
          <w:sz w:val="16"/>
          <w:vertAlign w:val="superscript"/>
        </w:rPr>
        <w:t>4</w:t>
      </w:r>
      <w:r>
        <w:rPr>
          <w:rFonts w:ascii="Times New Roman" w:hAnsi="Times New Roman"/>
          <w:color w:val="0E568C"/>
          <w:sz w:val="16"/>
          <w:vertAlign w:val="superscript"/>
        </w:rPr>
        <w:fldChar w:fldCharType="end"/>
      </w:r>
      <w:bookmarkEnd w:id="2"/>
      <w:r>
        <w:rPr>
          <w:rFonts w:ascii="Times New Roman" w:hAnsi="Times New Roman"/>
          <w:color w:val="000000"/>
          <w:sz w:val="20"/>
        </w:rPr>
        <w:t xml:space="preserve"> ASSEC still had to incur attorneys' fees to litigate this issue in the arbitration.</w:t>
      </w:r>
    </w:p>
    <w:p w14:paraId="0174882E" w14:textId="77777777" w:rsidR="00625858" w:rsidRDefault="00AE398F">
      <w:pPr>
        <w:spacing w:after="0" w:line="275" w:lineRule="atLeast"/>
        <w:jc w:val="both"/>
      </w:pPr>
      <w:r>
        <w:rPr>
          <w:rFonts w:ascii="Times New Roman" w:hAnsi="Times New Roman"/>
          <w:color w:val="000000"/>
          <w:sz w:val="20"/>
        </w:rPr>
        <w:t> </w:t>
      </w:r>
    </w:p>
    <w:p w14:paraId="6E990C3F" w14:textId="4D5A2FDD" w:rsidR="00625858" w:rsidRDefault="00AE398F">
      <w:pPr>
        <w:spacing w:after="0" w:line="275" w:lineRule="atLeast"/>
        <w:jc w:val="both"/>
      </w:pPr>
      <w:r>
        <w:rPr>
          <w:rFonts w:ascii="Times New Roman" w:hAnsi="Times New Roman"/>
          <w:color w:val="000000"/>
          <w:sz w:val="20"/>
        </w:rPr>
        <w:t xml:space="preserve">The alleged “misleading statements” and “instances of neglect” by Dr. Barnhart and Scott </w:t>
      </w:r>
      <w:proofErr w:type="spellStart"/>
      <w:r>
        <w:rPr>
          <w:rFonts w:ascii="Times New Roman" w:hAnsi="Times New Roman"/>
          <w:color w:val="000000"/>
          <w:sz w:val="20"/>
        </w:rPr>
        <w:t>Harbour</w:t>
      </w:r>
      <w:proofErr w:type="spellEnd"/>
      <w:r>
        <w:rPr>
          <w:rFonts w:ascii="Times New Roman" w:hAnsi="Times New Roman"/>
          <w:color w:val="000000"/>
          <w:sz w:val="20"/>
        </w:rPr>
        <w:t xml:space="preserve"> in connection with ASSEC's performance of the MOA were also classic exam</w:t>
      </w:r>
      <w:r>
        <w:rPr>
          <w:rFonts w:ascii="Times New Roman" w:hAnsi="Times New Roman"/>
          <w:color w:val="000000"/>
          <w:sz w:val="20"/>
        </w:rPr>
        <w:t>ples of the breach of an implied duty</w:t>
      </w:r>
      <w:r>
        <w:rPr>
          <w:rFonts w:ascii="Times New Roman" w:hAnsi="Times New Roman"/>
          <w:color w:val="000000"/>
          <w:sz w:val="20"/>
        </w:rPr>
        <w:t xml:space="preserve">, the plaintiffs alleged the defendant unreasonably delayed applying for permits and starting construction and failed to update the plaintiffs about performance. Here, the Statement of Claim similarly alleged, </w:t>
      </w:r>
      <w:r>
        <w:rPr>
          <w:rFonts w:ascii="Times New Roman" w:hAnsi="Times New Roman"/>
          <w:i/>
          <w:color w:val="000000"/>
          <w:sz w:val="20"/>
        </w:rPr>
        <w:t>inter alia</w:t>
      </w:r>
      <w:r>
        <w:rPr>
          <w:rFonts w:ascii="Times New Roman" w:hAnsi="Times New Roman"/>
          <w:color w:val="000000"/>
          <w:sz w:val="20"/>
        </w:rPr>
        <w:t>, that ASSEC failed to communicate</w:t>
      </w:r>
      <w:r>
        <w:rPr>
          <w:rFonts w:ascii="Times New Roman" w:hAnsi="Times New Roman"/>
          <w:color w:val="000000"/>
          <w:sz w:val="20"/>
        </w:rPr>
        <w:t xml:space="preserve"> with Space Race, made misrepresentations to Space Race when it did communicate, and neglected its reporting duties under the CAN. Doc. 55 - </w:t>
      </w:r>
      <w:proofErr w:type="spellStart"/>
      <w:r>
        <w:rPr>
          <w:rFonts w:ascii="Times New Roman" w:hAnsi="Times New Roman"/>
          <w:color w:val="000000"/>
          <w:sz w:val="20"/>
        </w:rPr>
        <w:t>Pg</w:t>
      </w:r>
      <w:proofErr w:type="spellEnd"/>
      <w:r>
        <w:rPr>
          <w:rFonts w:ascii="Times New Roman" w:hAnsi="Times New Roman"/>
          <w:color w:val="000000"/>
          <w:sz w:val="20"/>
        </w:rPr>
        <w:t xml:space="preserve"> 13, 17, 21. It was this independent tortious conduct that allegedly caused Space Race's injury</w:t>
      </w:r>
      <w:r>
        <w:rPr>
          <w:rFonts w:ascii="Times New Roman" w:hAnsi="Times New Roman"/>
          <w:color w:val="000000"/>
          <w:sz w:val="20"/>
        </w:rPr>
        <w:t xml:space="preserve"> Because the allegations of wrongful conduct arose from the parties' working relationship, they “are cognizable in tort.” </w:t>
      </w:r>
      <w:r>
        <w:rPr>
          <w:rFonts w:ascii="Times New Roman" w:hAnsi="Times New Roman"/>
          <w:color w:val="000000"/>
          <w:sz w:val="20"/>
        </w:rPr>
        <w:t xml:space="preserve">Thus, even if, </w:t>
      </w:r>
      <w:r>
        <w:rPr>
          <w:rFonts w:ascii="Times New Roman" w:hAnsi="Times New Roman"/>
          <w:i/>
          <w:color w:val="000000"/>
          <w:sz w:val="20"/>
        </w:rPr>
        <w:t>arguendo</w:t>
      </w:r>
      <w:r>
        <w:rPr>
          <w:rFonts w:ascii="Times New Roman" w:hAnsi="Times New Roman"/>
          <w:color w:val="000000"/>
          <w:sz w:val="20"/>
        </w:rPr>
        <w:t xml:space="preserve">, these allegations created liability “for” breach of contract, they would still fall within the </w:t>
      </w:r>
      <w:r>
        <w:rPr>
          <w:rFonts w:ascii="Times New Roman" w:hAnsi="Times New Roman"/>
          <w:b/>
          <w:color w:val="000000"/>
          <w:sz w:val="20"/>
        </w:rPr>
        <w:t>*24</w:t>
      </w:r>
      <w:r>
        <w:rPr>
          <w:rFonts w:ascii="Times New Roman" w:hAnsi="Times New Roman"/>
          <w:color w:val="000000"/>
          <w:sz w:val="20"/>
        </w:rPr>
        <w:t xml:space="preserve"> exception to the Breach of Contract Exclusion because they also created liability that could be imposed independent of the contrac</w:t>
      </w:r>
      <w:r>
        <w:rPr>
          <w:rFonts w:ascii="Times New Roman" w:hAnsi="Times New Roman"/>
          <w:color w:val="000000"/>
          <w:sz w:val="20"/>
        </w:rPr>
        <w:t xml:space="preserve">t. </w:t>
      </w:r>
    </w:p>
    <w:p w14:paraId="0077CE4B" w14:textId="77777777" w:rsidR="00625858" w:rsidRDefault="00AE398F">
      <w:pPr>
        <w:spacing w:after="0" w:line="275" w:lineRule="atLeast"/>
        <w:jc w:val="both"/>
      </w:pPr>
      <w:r>
        <w:rPr>
          <w:rFonts w:ascii="Times New Roman" w:hAnsi="Times New Roman"/>
          <w:color w:val="000000"/>
          <w:sz w:val="20"/>
        </w:rPr>
        <w:t> </w:t>
      </w:r>
    </w:p>
    <w:p w14:paraId="0F31C693" w14:textId="77777777" w:rsidR="00625858" w:rsidRDefault="00AE398F">
      <w:pPr>
        <w:spacing w:before="400" w:after="0" w:line="275" w:lineRule="atLeast"/>
        <w:jc w:val="center"/>
      </w:pPr>
      <w:r>
        <w:rPr>
          <w:rFonts w:ascii="Times New Roman" w:hAnsi="Times New Roman"/>
          <w:b/>
          <w:color w:val="000000"/>
          <w:sz w:val="20"/>
        </w:rPr>
        <w:t xml:space="preserve">2. </w:t>
      </w:r>
      <w:r>
        <w:rPr>
          <w:rFonts w:ascii="Times New Roman" w:hAnsi="Times New Roman"/>
          <w:b/>
          <w:i/>
          <w:color w:val="000000"/>
          <w:sz w:val="20"/>
        </w:rPr>
        <w:t>ASSEC's alleged liability in quantum meruit was independent</w:t>
      </w:r>
      <w:r>
        <w:rPr>
          <w:rFonts w:ascii="Times New Roman" w:hAnsi="Times New Roman"/>
          <w:b/>
          <w:color w:val="000000"/>
          <w:sz w:val="20"/>
        </w:rPr>
        <w:t>.</w:t>
      </w:r>
    </w:p>
    <w:p w14:paraId="039BB925" w14:textId="77777777" w:rsidR="00625858" w:rsidRDefault="00AE398F">
      <w:pPr>
        <w:spacing w:before="200" w:after="0" w:line="275" w:lineRule="atLeast"/>
        <w:jc w:val="both"/>
      </w:pPr>
      <w:r>
        <w:rPr>
          <w:rFonts w:ascii="Times New Roman" w:hAnsi="Times New Roman"/>
          <w:color w:val="000000"/>
          <w:sz w:val="20"/>
        </w:rPr>
        <w:t xml:space="preserve">Space Race also claimed it was owed compensation in </w:t>
      </w:r>
      <w:r>
        <w:rPr>
          <w:rFonts w:ascii="Times New Roman" w:hAnsi="Times New Roman"/>
          <w:i/>
          <w:color w:val="000000"/>
          <w:sz w:val="20"/>
        </w:rPr>
        <w:t>quantum meruit</w:t>
      </w:r>
      <w:r>
        <w:rPr>
          <w:rFonts w:ascii="Times New Roman" w:hAnsi="Times New Roman"/>
          <w:color w:val="000000"/>
          <w:sz w:val="20"/>
        </w:rPr>
        <w:t xml:space="preserve">, alleging that ASSEC “knowingly induced Space Race to render cobranding services” and benefited from those services without payment. Doc. 34-4 - </w:t>
      </w:r>
      <w:proofErr w:type="spellStart"/>
      <w:r>
        <w:rPr>
          <w:rFonts w:ascii="Times New Roman" w:hAnsi="Times New Roman"/>
          <w:color w:val="000000"/>
          <w:sz w:val="20"/>
        </w:rPr>
        <w:t>Pg</w:t>
      </w:r>
      <w:proofErr w:type="spellEnd"/>
      <w:r>
        <w:rPr>
          <w:rFonts w:ascii="Times New Roman" w:hAnsi="Times New Roman"/>
          <w:color w:val="000000"/>
          <w:sz w:val="20"/>
        </w:rPr>
        <w:t xml:space="preserve"> 21, ¶75. Markel denied coverage for the c</w:t>
      </w:r>
      <w:r>
        <w:rPr>
          <w:rFonts w:ascii="Times New Roman" w:hAnsi="Times New Roman"/>
          <w:color w:val="000000"/>
          <w:sz w:val="20"/>
        </w:rPr>
        <w:t xml:space="preserve">laim under the Breach of Contract Exclusion and the definition of “Loss,” which excluded “disgorgement or restitution of ill-gotten gain.” Doc. 34-9 - </w:t>
      </w:r>
      <w:proofErr w:type="spellStart"/>
      <w:r>
        <w:rPr>
          <w:rFonts w:ascii="Times New Roman" w:hAnsi="Times New Roman"/>
          <w:color w:val="000000"/>
          <w:sz w:val="20"/>
        </w:rPr>
        <w:t>Pg</w:t>
      </w:r>
      <w:proofErr w:type="spellEnd"/>
      <w:r>
        <w:rPr>
          <w:rFonts w:ascii="Times New Roman" w:hAnsi="Times New Roman"/>
          <w:color w:val="000000"/>
          <w:sz w:val="20"/>
        </w:rPr>
        <w:t xml:space="preserve"> 11. Markel's decision was wrong for multiple reasons.</w:t>
      </w:r>
    </w:p>
    <w:p w14:paraId="081A60DA" w14:textId="77777777" w:rsidR="00625858" w:rsidRDefault="00AE398F">
      <w:pPr>
        <w:spacing w:after="0" w:line="275" w:lineRule="atLeast"/>
        <w:jc w:val="both"/>
      </w:pPr>
      <w:r>
        <w:rPr>
          <w:rFonts w:ascii="Times New Roman" w:hAnsi="Times New Roman"/>
          <w:color w:val="000000"/>
          <w:sz w:val="20"/>
        </w:rPr>
        <w:t> </w:t>
      </w:r>
    </w:p>
    <w:p w14:paraId="770240F4" w14:textId="17EB1B29" w:rsidR="00625858" w:rsidRDefault="00AE398F">
      <w:pPr>
        <w:spacing w:after="0" w:line="275" w:lineRule="atLeast"/>
        <w:jc w:val="both"/>
      </w:pPr>
      <w:r>
        <w:rPr>
          <w:rFonts w:ascii="Times New Roman" w:hAnsi="Times New Roman"/>
          <w:color w:val="000000"/>
          <w:sz w:val="20"/>
        </w:rPr>
        <w:t xml:space="preserve">First, Space Race's </w:t>
      </w:r>
      <w:r>
        <w:rPr>
          <w:rFonts w:ascii="Times New Roman" w:hAnsi="Times New Roman"/>
          <w:i/>
          <w:color w:val="000000"/>
          <w:sz w:val="20"/>
        </w:rPr>
        <w:t>quantum meruit</w:t>
      </w:r>
      <w:r>
        <w:rPr>
          <w:rFonts w:ascii="Times New Roman" w:hAnsi="Times New Roman"/>
          <w:color w:val="000000"/>
          <w:sz w:val="20"/>
        </w:rPr>
        <w:t xml:space="preserve"> claim is fo</w:t>
      </w:r>
      <w:r>
        <w:rPr>
          <w:rFonts w:ascii="Times New Roman" w:hAnsi="Times New Roman"/>
          <w:color w:val="000000"/>
          <w:sz w:val="20"/>
        </w:rPr>
        <w:t xml:space="preserve">r breach of an implied duty imposed by law, not for breach of an express term of the MOA. </w:t>
      </w:r>
      <w:r>
        <w:rPr>
          <w:rFonts w:ascii="Times New Roman" w:hAnsi="Times New Roman"/>
          <w:color w:val="000000"/>
          <w:sz w:val="20"/>
        </w:rPr>
        <w:t xml:space="preserve">Second, while </w:t>
      </w:r>
      <w:proofErr w:type="gramStart"/>
      <w:r>
        <w:rPr>
          <w:rFonts w:ascii="Times New Roman" w:hAnsi="Times New Roman"/>
          <w:color w:val="000000"/>
          <w:sz w:val="20"/>
        </w:rPr>
        <w:t>as a general r</w:t>
      </w:r>
      <w:r>
        <w:rPr>
          <w:rFonts w:ascii="Times New Roman" w:hAnsi="Times New Roman"/>
          <w:color w:val="000000"/>
          <w:sz w:val="20"/>
        </w:rPr>
        <w:t>ule</w:t>
      </w:r>
      <w:proofErr w:type="gramEnd"/>
      <w:r>
        <w:rPr>
          <w:rFonts w:ascii="Times New Roman" w:hAnsi="Times New Roman"/>
          <w:color w:val="000000"/>
          <w:sz w:val="20"/>
        </w:rPr>
        <w:t xml:space="preserve"> a </w:t>
      </w:r>
      <w:r>
        <w:rPr>
          <w:rFonts w:ascii="Times New Roman" w:hAnsi="Times New Roman"/>
          <w:i/>
          <w:color w:val="000000"/>
          <w:sz w:val="20"/>
        </w:rPr>
        <w:t>quantum meruit</w:t>
      </w:r>
      <w:r>
        <w:rPr>
          <w:rFonts w:ascii="Times New Roman" w:hAnsi="Times New Roman"/>
          <w:color w:val="000000"/>
          <w:sz w:val="20"/>
        </w:rPr>
        <w:t xml:space="preserve"> claim cannot address the same subject matter as a written agreement, both ASSEC's policy and the law required Markel to defend all potentially covered allegations, even if meritless. Doc. 34-5 - </w:t>
      </w:r>
      <w:proofErr w:type="spellStart"/>
      <w:r>
        <w:rPr>
          <w:rFonts w:ascii="Times New Roman" w:hAnsi="Times New Roman"/>
          <w:color w:val="000000"/>
          <w:sz w:val="20"/>
        </w:rPr>
        <w:t>Pg</w:t>
      </w:r>
      <w:proofErr w:type="spellEnd"/>
      <w:r>
        <w:rPr>
          <w:rFonts w:ascii="Times New Roman" w:hAnsi="Times New Roman"/>
          <w:color w:val="000000"/>
          <w:sz w:val="20"/>
        </w:rPr>
        <w:t xml:space="preserve"> 7, 18, § IV.A.1.a.</w:t>
      </w:r>
    </w:p>
    <w:p w14:paraId="2C82CA37" w14:textId="77777777" w:rsidR="00625858" w:rsidRDefault="00AE398F">
      <w:pPr>
        <w:spacing w:after="0" w:line="275" w:lineRule="atLeast"/>
        <w:jc w:val="both"/>
      </w:pPr>
      <w:r>
        <w:rPr>
          <w:rFonts w:ascii="Times New Roman" w:hAnsi="Times New Roman"/>
          <w:color w:val="000000"/>
          <w:sz w:val="20"/>
        </w:rPr>
        <w:t> </w:t>
      </w:r>
    </w:p>
    <w:p w14:paraId="30945BB3" w14:textId="317DC09F" w:rsidR="00625858" w:rsidRDefault="00AE398F">
      <w:pPr>
        <w:spacing w:after="0" w:line="275" w:lineRule="atLeast"/>
        <w:jc w:val="both"/>
      </w:pPr>
      <w:r>
        <w:rPr>
          <w:rFonts w:ascii="Times New Roman" w:hAnsi="Times New Roman"/>
          <w:color w:val="000000"/>
          <w:sz w:val="20"/>
        </w:rPr>
        <w:t xml:space="preserve">Third, under an </w:t>
      </w:r>
      <w:r>
        <w:rPr>
          <w:rFonts w:ascii="Times New Roman" w:hAnsi="Times New Roman"/>
          <w:color w:val="000000"/>
          <w:sz w:val="20"/>
        </w:rPr>
        <w:t>exception to the general rule, an implied contract theory is available if “the express contract is performed as to all but payment for the services</w:t>
      </w:r>
      <w:r>
        <w:rPr>
          <w:rFonts w:ascii="Times New Roman" w:hAnsi="Times New Roman"/>
          <w:color w:val="000000"/>
          <w:sz w:val="20"/>
        </w:rPr>
        <w:t xml:space="preserve"> This exception appli</w:t>
      </w:r>
      <w:r>
        <w:rPr>
          <w:rFonts w:ascii="Times New Roman" w:hAnsi="Times New Roman"/>
          <w:color w:val="000000"/>
          <w:sz w:val="20"/>
        </w:rPr>
        <w:t xml:space="preserve">es because Space Race </w:t>
      </w:r>
      <w:r>
        <w:rPr>
          <w:rFonts w:ascii="Times New Roman" w:hAnsi="Times New Roman"/>
          <w:b/>
          <w:color w:val="000000"/>
          <w:sz w:val="20"/>
        </w:rPr>
        <w:t>*25</w:t>
      </w:r>
      <w:r>
        <w:rPr>
          <w:rFonts w:ascii="Times New Roman" w:hAnsi="Times New Roman"/>
          <w:color w:val="000000"/>
          <w:sz w:val="20"/>
        </w:rPr>
        <w:t xml:space="preserve"> alleged that it furnished the cobranding </w:t>
      </w:r>
      <w:proofErr w:type="gramStart"/>
      <w:r>
        <w:rPr>
          <w:rFonts w:ascii="Times New Roman" w:hAnsi="Times New Roman"/>
          <w:color w:val="000000"/>
          <w:sz w:val="20"/>
        </w:rPr>
        <w:t>services, but</w:t>
      </w:r>
      <w:proofErr w:type="gramEnd"/>
      <w:r>
        <w:rPr>
          <w:rFonts w:ascii="Times New Roman" w:hAnsi="Times New Roman"/>
          <w:color w:val="000000"/>
          <w:sz w:val="20"/>
        </w:rPr>
        <w:t xml:space="preserve"> was not paid. Doc. 34-4 - </w:t>
      </w:r>
      <w:proofErr w:type="spellStart"/>
      <w:r>
        <w:rPr>
          <w:rFonts w:ascii="Times New Roman" w:hAnsi="Times New Roman"/>
          <w:color w:val="000000"/>
          <w:sz w:val="20"/>
        </w:rPr>
        <w:t>Pg</w:t>
      </w:r>
      <w:proofErr w:type="spellEnd"/>
      <w:r>
        <w:rPr>
          <w:rFonts w:ascii="Times New Roman" w:hAnsi="Times New Roman"/>
          <w:color w:val="000000"/>
          <w:sz w:val="20"/>
        </w:rPr>
        <w:t xml:space="preserve"> 21, ¶¶75-76.</w:t>
      </w:r>
    </w:p>
    <w:p w14:paraId="468EB2F3" w14:textId="77777777" w:rsidR="00625858" w:rsidRDefault="00AE398F">
      <w:pPr>
        <w:spacing w:after="0" w:line="275" w:lineRule="atLeast"/>
        <w:jc w:val="both"/>
      </w:pPr>
      <w:r>
        <w:rPr>
          <w:rFonts w:ascii="Times New Roman" w:hAnsi="Times New Roman"/>
          <w:color w:val="000000"/>
          <w:sz w:val="20"/>
        </w:rPr>
        <w:t> </w:t>
      </w:r>
    </w:p>
    <w:p w14:paraId="6B73F4B5" w14:textId="77777777" w:rsidR="00625858" w:rsidRDefault="00AE398F">
      <w:pPr>
        <w:spacing w:before="400" w:after="0" w:line="275" w:lineRule="atLeast"/>
        <w:jc w:val="center"/>
      </w:pPr>
      <w:r>
        <w:rPr>
          <w:rFonts w:ascii="Times New Roman" w:hAnsi="Times New Roman"/>
          <w:b/>
          <w:color w:val="000000"/>
          <w:sz w:val="20"/>
        </w:rPr>
        <w:t xml:space="preserve">3. </w:t>
      </w:r>
      <w:r>
        <w:rPr>
          <w:rFonts w:ascii="Times New Roman" w:hAnsi="Times New Roman"/>
          <w:b/>
          <w:i/>
          <w:color w:val="000000"/>
          <w:sz w:val="20"/>
        </w:rPr>
        <w:t>Space Race sought compensatory damages, not disgorgement or restitution of ill-gotten gain</w:t>
      </w:r>
      <w:r>
        <w:rPr>
          <w:rFonts w:ascii="Times New Roman" w:hAnsi="Times New Roman"/>
          <w:b/>
          <w:color w:val="000000"/>
          <w:sz w:val="20"/>
        </w:rPr>
        <w:t>.</w:t>
      </w:r>
    </w:p>
    <w:p w14:paraId="5A7FBB30" w14:textId="4F9443D0" w:rsidR="00625858" w:rsidRDefault="00AE398F">
      <w:pPr>
        <w:spacing w:before="200" w:after="0" w:line="275" w:lineRule="atLeast"/>
        <w:jc w:val="both"/>
      </w:pPr>
      <w:r>
        <w:rPr>
          <w:rFonts w:ascii="Times New Roman" w:hAnsi="Times New Roman"/>
          <w:color w:val="000000"/>
          <w:sz w:val="20"/>
        </w:rPr>
        <w:t>When determining coverage, courts di</w:t>
      </w:r>
      <w:r>
        <w:rPr>
          <w:rFonts w:ascii="Times New Roman" w:hAnsi="Times New Roman"/>
          <w:color w:val="000000"/>
          <w:sz w:val="20"/>
        </w:rPr>
        <w:t xml:space="preserve">stinguish between the retention of a gain or benefit </w:t>
      </w:r>
      <w:r>
        <w:rPr>
          <w:rFonts w:ascii="Times New Roman" w:hAnsi="Times New Roman"/>
          <w:i/>
          <w:color w:val="000000"/>
          <w:sz w:val="20"/>
        </w:rPr>
        <w:t>lawfully</w:t>
      </w:r>
      <w:r>
        <w:rPr>
          <w:rFonts w:ascii="Times New Roman" w:hAnsi="Times New Roman"/>
          <w:color w:val="000000"/>
          <w:sz w:val="20"/>
        </w:rPr>
        <w:t xml:space="preserve"> acquired and a gain or benefit </w:t>
      </w:r>
      <w:r>
        <w:rPr>
          <w:rFonts w:ascii="Times New Roman" w:hAnsi="Times New Roman"/>
          <w:i/>
          <w:color w:val="000000"/>
          <w:sz w:val="20"/>
        </w:rPr>
        <w:t>wrongfully</w:t>
      </w:r>
      <w:r>
        <w:rPr>
          <w:rFonts w:ascii="Times New Roman" w:hAnsi="Times New Roman"/>
          <w:color w:val="000000"/>
          <w:sz w:val="20"/>
        </w:rPr>
        <w:t xml:space="preserve"> acquired. For example, </w:t>
      </w:r>
      <w:r>
        <w:rPr>
          <w:rFonts w:ascii="Times New Roman" w:hAnsi="Times New Roman"/>
          <w:color w:val="000000"/>
          <w:sz w:val="20"/>
        </w:rPr>
        <w:t xml:space="preserve">a town mayor allegedly stole $47,000 in public funds that the plaintiffs sought to recover. </w:t>
      </w:r>
      <w:r>
        <w:rPr>
          <w:rFonts w:ascii="Times New Roman" w:hAnsi="Times New Roman"/>
          <w:color w:val="000000"/>
          <w:sz w:val="20"/>
        </w:rPr>
        <w:t>The policy at issue excluded “any Claim for the return of any profit, advantage, gain or renum</w:t>
      </w:r>
      <w:r>
        <w:rPr>
          <w:rFonts w:ascii="Times New Roman" w:hAnsi="Times New Roman"/>
          <w:color w:val="000000"/>
          <w:sz w:val="20"/>
        </w:rPr>
        <w:t xml:space="preserve">eration [sic] to which the Insured is not legally entitled.” </w:t>
      </w:r>
      <w:r>
        <w:rPr>
          <w:rFonts w:ascii="Times New Roman" w:hAnsi="Times New Roman"/>
          <w:color w:val="000000"/>
          <w:sz w:val="20"/>
        </w:rPr>
        <w:t xml:space="preserve">The court held the exclusion applied because the plaintiffs sought “recovery of ‘gain’ which was allegedly wrongfully taken.” </w:t>
      </w:r>
      <w:r>
        <w:rPr>
          <w:rFonts w:ascii="Times New Roman" w:hAnsi="Times New Roman"/>
          <w:color w:val="000000"/>
          <w:sz w:val="20"/>
        </w:rPr>
        <w:t xml:space="preserve">The remedy for gains unlawfully acquired (ill-gotten gains) is restitution or disgorgement of the </w:t>
      </w:r>
      <w:proofErr w:type="gramStart"/>
      <w:r>
        <w:rPr>
          <w:rFonts w:ascii="Times New Roman" w:hAnsi="Times New Roman"/>
          <w:color w:val="000000"/>
          <w:sz w:val="20"/>
        </w:rPr>
        <w:t>unlawfully-acquired</w:t>
      </w:r>
      <w:proofErr w:type="gramEnd"/>
      <w:r>
        <w:rPr>
          <w:rFonts w:ascii="Times New Roman" w:hAnsi="Times New Roman"/>
          <w:color w:val="000000"/>
          <w:sz w:val="20"/>
        </w:rPr>
        <w:t xml:space="preserve"> gains, not compensatory damages.</w:t>
      </w:r>
      <w:bookmarkStart w:id="3" w:name="co_tablefootnote_5_1"/>
      <w:r>
        <w:fldChar w:fldCharType="begin"/>
      </w:r>
      <w:r>
        <w:instrText xml:space="preserve"> HYPERLINK \l "co_tablefootnoteblock_5_1" \h </w:instrText>
      </w:r>
      <w:r>
        <w:fldChar w:fldCharType="separate"/>
      </w:r>
      <w:r>
        <w:rPr>
          <w:rFonts w:ascii="Times New Roman" w:hAnsi="Times New Roman"/>
          <w:color w:val="0E568C"/>
          <w:sz w:val="16"/>
          <w:vertAlign w:val="superscript"/>
        </w:rPr>
        <w:t>5</w:t>
      </w:r>
      <w:r>
        <w:rPr>
          <w:rFonts w:ascii="Times New Roman" w:hAnsi="Times New Roman"/>
          <w:color w:val="0E568C"/>
          <w:sz w:val="16"/>
          <w:vertAlign w:val="superscript"/>
        </w:rPr>
        <w:fldChar w:fldCharType="end"/>
      </w:r>
      <w:bookmarkEnd w:id="3"/>
      <w:r>
        <w:rPr>
          <w:rFonts w:ascii="Times New Roman" w:hAnsi="Times New Roman"/>
          <w:color w:val="000000"/>
          <w:sz w:val="20"/>
        </w:rPr>
        <w:t xml:space="preserve"> </w:t>
      </w:r>
    </w:p>
    <w:p w14:paraId="713D0EF4" w14:textId="77777777" w:rsidR="00625858" w:rsidRDefault="00AE398F">
      <w:pPr>
        <w:spacing w:after="0" w:line="275" w:lineRule="atLeast"/>
        <w:jc w:val="both"/>
      </w:pPr>
      <w:r>
        <w:rPr>
          <w:rFonts w:ascii="Times New Roman" w:hAnsi="Times New Roman"/>
          <w:color w:val="000000"/>
          <w:sz w:val="20"/>
        </w:rPr>
        <w:t> </w:t>
      </w:r>
    </w:p>
    <w:p w14:paraId="4E73A3C5" w14:textId="05FA640C" w:rsidR="00625858" w:rsidRDefault="00AE398F">
      <w:pPr>
        <w:spacing w:after="0" w:line="275" w:lineRule="atLeast"/>
        <w:jc w:val="both"/>
      </w:pPr>
      <w:r>
        <w:rPr>
          <w:rFonts w:ascii="Times New Roman" w:hAnsi="Times New Roman"/>
          <w:b/>
          <w:color w:val="000000"/>
          <w:sz w:val="20"/>
        </w:rPr>
        <w:t>*26</w:t>
      </w:r>
      <w:r>
        <w:rPr>
          <w:rFonts w:ascii="Times New Roman" w:hAnsi="Times New Roman"/>
          <w:color w:val="000000"/>
          <w:sz w:val="20"/>
        </w:rPr>
        <w:t xml:space="preserve"> A </w:t>
      </w:r>
      <w:r>
        <w:rPr>
          <w:rFonts w:ascii="Times New Roman" w:hAnsi="Times New Roman"/>
          <w:i/>
          <w:color w:val="000000"/>
          <w:sz w:val="20"/>
        </w:rPr>
        <w:t>quantum meruit</w:t>
      </w:r>
      <w:r>
        <w:rPr>
          <w:rFonts w:ascii="Times New Roman" w:hAnsi="Times New Roman"/>
          <w:color w:val="000000"/>
          <w:sz w:val="20"/>
        </w:rPr>
        <w:t xml:space="preserve"> remedy, on the other hand, is measured by compensatory damages. For example, </w:t>
      </w:r>
      <w:r>
        <w:rPr>
          <w:rFonts w:ascii="Times New Roman" w:hAnsi="Times New Roman"/>
          <w:color w:val="000000"/>
          <w:sz w:val="20"/>
        </w:rPr>
        <w:t xml:space="preserve">the Sixth Circuit held the exclusion was inapplicable where nurses alleged a hospital unlawfully retained their wages, but the nurses' services had been </w:t>
      </w:r>
      <w:r>
        <w:rPr>
          <w:rFonts w:ascii="Times New Roman" w:hAnsi="Times New Roman"/>
          <w:i/>
          <w:color w:val="000000"/>
          <w:sz w:val="20"/>
        </w:rPr>
        <w:t>lawfully</w:t>
      </w:r>
      <w:r>
        <w:rPr>
          <w:rFonts w:ascii="Times New Roman" w:hAnsi="Times New Roman"/>
          <w:color w:val="000000"/>
          <w:sz w:val="20"/>
        </w:rPr>
        <w:t xml:space="preserve"> acquired. The goal of the lawsuit was to put the nurses in the same position they would have</w:t>
      </w:r>
      <w:r>
        <w:rPr>
          <w:rFonts w:ascii="Times New Roman" w:hAnsi="Times New Roman"/>
          <w:color w:val="000000"/>
          <w:sz w:val="20"/>
        </w:rPr>
        <w:t xml:space="preserve"> been if the hospital had not committed a wage violation. </w:t>
      </w:r>
      <w:r>
        <w:rPr>
          <w:rFonts w:ascii="Times New Roman" w:hAnsi="Times New Roman"/>
          <w:i/>
          <w:color w:val="000000"/>
          <w:sz w:val="20"/>
        </w:rPr>
        <w:t>Id</w:t>
      </w:r>
      <w:r>
        <w:rPr>
          <w:rFonts w:ascii="Times New Roman" w:hAnsi="Times New Roman"/>
          <w:color w:val="000000"/>
          <w:sz w:val="20"/>
        </w:rPr>
        <w:t>.</w:t>
      </w:r>
    </w:p>
    <w:p w14:paraId="455EA398" w14:textId="77777777" w:rsidR="00625858" w:rsidRDefault="00AE398F">
      <w:pPr>
        <w:spacing w:after="0" w:line="275" w:lineRule="atLeast"/>
        <w:jc w:val="both"/>
      </w:pPr>
      <w:r>
        <w:rPr>
          <w:rFonts w:ascii="Times New Roman" w:hAnsi="Times New Roman"/>
          <w:color w:val="000000"/>
          <w:sz w:val="20"/>
        </w:rPr>
        <w:t> </w:t>
      </w:r>
    </w:p>
    <w:p w14:paraId="5AB6CEB1" w14:textId="77777777" w:rsidR="00625858" w:rsidRDefault="00AE398F">
      <w:pPr>
        <w:spacing w:after="0" w:line="275" w:lineRule="atLeast"/>
        <w:jc w:val="both"/>
      </w:pPr>
      <w:r>
        <w:rPr>
          <w:rFonts w:ascii="Times New Roman" w:hAnsi="Times New Roman"/>
          <w:color w:val="000000"/>
          <w:sz w:val="20"/>
        </w:rPr>
        <w:lastRenderedPageBreak/>
        <w:t xml:space="preserve">Similarly, here, even if ASSEC wrongly retained a cobranding benefit from Space Race without paying for it, there are no allegations that ASSEC unlawfully </w:t>
      </w:r>
      <w:r>
        <w:rPr>
          <w:rFonts w:ascii="Times New Roman" w:hAnsi="Times New Roman"/>
          <w:i/>
          <w:color w:val="000000"/>
          <w:sz w:val="20"/>
        </w:rPr>
        <w:t>acquired</w:t>
      </w:r>
      <w:r>
        <w:rPr>
          <w:rFonts w:ascii="Times New Roman" w:hAnsi="Times New Roman"/>
          <w:color w:val="000000"/>
          <w:sz w:val="20"/>
        </w:rPr>
        <w:t xml:space="preserve"> the benefit. After all, Space Race agreed in the MOA to provide that benefit, just like the </w:t>
      </w:r>
      <w:r>
        <w:rPr>
          <w:rFonts w:ascii="Times New Roman" w:hAnsi="Times New Roman"/>
          <w:color w:val="000000"/>
          <w:sz w:val="20"/>
        </w:rPr>
        <w:t xml:space="preserve">nurses in </w:t>
      </w:r>
      <w:r>
        <w:rPr>
          <w:rFonts w:ascii="Times New Roman" w:hAnsi="Times New Roman"/>
          <w:i/>
          <w:color w:val="000000"/>
          <w:sz w:val="20"/>
        </w:rPr>
        <w:t>William Beaumont</w:t>
      </w:r>
      <w:r>
        <w:rPr>
          <w:rFonts w:ascii="Times New Roman" w:hAnsi="Times New Roman"/>
          <w:color w:val="000000"/>
          <w:sz w:val="20"/>
        </w:rPr>
        <w:t xml:space="preserve"> agreed to provide nursing services to the hospital pursuant to their employment agreements. The remedy that Space Race sought was $1.5 million, the same amount it alleged it would have received had NASA provided the year-three fu</w:t>
      </w:r>
      <w:r>
        <w:rPr>
          <w:rFonts w:ascii="Times New Roman" w:hAnsi="Times New Roman"/>
          <w:color w:val="000000"/>
          <w:sz w:val="20"/>
        </w:rPr>
        <w:t xml:space="preserve">nding. Doc. 34-4 - </w:t>
      </w:r>
      <w:proofErr w:type="spellStart"/>
      <w:r>
        <w:rPr>
          <w:rFonts w:ascii="Times New Roman" w:hAnsi="Times New Roman"/>
          <w:color w:val="000000"/>
          <w:sz w:val="20"/>
        </w:rPr>
        <w:t>Pg</w:t>
      </w:r>
      <w:proofErr w:type="spellEnd"/>
      <w:r>
        <w:rPr>
          <w:rFonts w:ascii="Times New Roman" w:hAnsi="Times New Roman"/>
          <w:color w:val="000000"/>
          <w:sz w:val="20"/>
        </w:rPr>
        <w:t xml:space="preserve"> 22.</w:t>
      </w:r>
    </w:p>
    <w:p w14:paraId="3224394A" w14:textId="77777777" w:rsidR="00625858" w:rsidRDefault="00AE398F">
      <w:pPr>
        <w:spacing w:after="0" w:line="275" w:lineRule="atLeast"/>
        <w:jc w:val="both"/>
      </w:pPr>
      <w:r>
        <w:rPr>
          <w:rFonts w:ascii="Times New Roman" w:hAnsi="Times New Roman"/>
          <w:color w:val="000000"/>
          <w:sz w:val="20"/>
        </w:rPr>
        <w:t> </w:t>
      </w:r>
    </w:p>
    <w:p w14:paraId="32B68F52" w14:textId="77777777" w:rsidR="00625858" w:rsidRDefault="00AE398F">
      <w:pPr>
        <w:spacing w:before="400" w:after="0" w:line="275" w:lineRule="atLeast"/>
        <w:jc w:val="center"/>
      </w:pPr>
      <w:r>
        <w:rPr>
          <w:rFonts w:ascii="Times New Roman" w:hAnsi="Times New Roman"/>
          <w:b/>
          <w:color w:val="000000"/>
          <w:sz w:val="20"/>
        </w:rPr>
        <w:t>III. Markel Breached Its Duty to Indemnify ASSEC.</w:t>
      </w:r>
    </w:p>
    <w:p w14:paraId="20A5028D" w14:textId="77777777" w:rsidR="00625858" w:rsidRDefault="00AE398F">
      <w:pPr>
        <w:spacing w:before="200" w:after="0" w:line="275" w:lineRule="atLeast"/>
        <w:jc w:val="both"/>
      </w:pPr>
      <w:r>
        <w:rPr>
          <w:rFonts w:ascii="Times New Roman" w:hAnsi="Times New Roman"/>
          <w:color w:val="000000"/>
          <w:sz w:val="20"/>
        </w:rPr>
        <w:t>Because the Statement of Claim included allegations of Wrongful Acts that were not clearly excluded by the Breach of Contract Exclusion and fell within the exception to the exclu</w:t>
      </w:r>
      <w:r>
        <w:rPr>
          <w:rFonts w:ascii="Times New Roman" w:hAnsi="Times New Roman"/>
          <w:color w:val="000000"/>
          <w:sz w:val="20"/>
        </w:rPr>
        <w:t xml:space="preserve">sion, Markel had a duty to defend ASSEC and pay its </w:t>
      </w:r>
      <w:r>
        <w:rPr>
          <w:rFonts w:ascii="Times New Roman" w:hAnsi="Times New Roman"/>
          <w:b/>
          <w:color w:val="000000"/>
          <w:sz w:val="20"/>
        </w:rPr>
        <w:t>*27</w:t>
      </w:r>
      <w:r>
        <w:rPr>
          <w:rFonts w:ascii="Times New Roman" w:hAnsi="Times New Roman"/>
          <w:color w:val="000000"/>
          <w:sz w:val="20"/>
        </w:rPr>
        <w:t xml:space="preserve"> reasonable Claim Expenses, including defense costs.</w:t>
      </w:r>
      <w:bookmarkStart w:id="4" w:name="co_tablefootnote_6_1"/>
      <w:r>
        <w:fldChar w:fldCharType="begin"/>
      </w:r>
      <w:r>
        <w:instrText xml:space="preserve"> HYPERLINK \l "co_tablefootnoteblock_6_1" \h </w:instrText>
      </w:r>
      <w:r>
        <w:fldChar w:fldCharType="separate"/>
      </w:r>
      <w:r>
        <w:rPr>
          <w:rFonts w:ascii="Times New Roman" w:hAnsi="Times New Roman"/>
          <w:color w:val="0E568C"/>
          <w:sz w:val="16"/>
          <w:vertAlign w:val="superscript"/>
        </w:rPr>
        <w:t>6</w:t>
      </w:r>
      <w:r>
        <w:rPr>
          <w:rFonts w:ascii="Times New Roman" w:hAnsi="Times New Roman"/>
          <w:color w:val="0E568C"/>
          <w:sz w:val="16"/>
          <w:vertAlign w:val="superscript"/>
        </w:rPr>
        <w:fldChar w:fldCharType="end"/>
      </w:r>
      <w:bookmarkEnd w:id="4"/>
      <w:r>
        <w:rPr>
          <w:rFonts w:ascii="Times New Roman" w:hAnsi="Times New Roman"/>
          <w:color w:val="000000"/>
          <w:sz w:val="20"/>
        </w:rPr>
        <w:t xml:space="preserve"> Markel also had a duty to indemnify ASSEC for two-thirds of the Arbitration Award. The panel ruled </w:t>
      </w:r>
      <w:r>
        <w:rPr>
          <w:rFonts w:ascii="Times New Roman" w:hAnsi="Times New Roman"/>
          <w:color w:val="000000"/>
          <w:sz w:val="20"/>
        </w:rPr>
        <w:t>that ASSEC breached the MOA by failing to try to resolve the dispute under the dispute resolution clause, but more significantly, it ruled that ASSEC breached the CAN by failing to submit periodic reports to NASA and caused Space Race to lose the unrelease</w:t>
      </w:r>
      <w:r>
        <w:rPr>
          <w:rFonts w:ascii="Times New Roman" w:hAnsi="Times New Roman"/>
          <w:color w:val="000000"/>
          <w:sz w:val="20"/>
        </w:rPr>
        <w:t xml:space="preserve">d funding through numerous wrongful acts and omissions. Doc. 34-13 - </w:t>
      </w:r>
      <w:proofErr w:type="spellStart"/>
      <w:r>
        <w:rPr>
          <w:rFonts w:ascii="Times New Roman" w:hAnsi="Times New Roman"/>
          <w:color w:val="000000"/>
          <w:sz w:val="20"/>
        </w:rPr>
        <w:t>Pg</w:t>
      </w:r>
      <w:proofErr w:type="spellEnd"/>
      <w:r>
        <w:rPr>
          <w:rFonts w:ascii="Times New Roman" w:hAnsi="Times New Roman"/>
          <w:color w:val="000000"/>
          <w:sz w:val="20"/>
        </w:rPr>
        <w:t xml:space="preserve"> 12 - 16. These two independent bases for ASSEC's liability were covered.</w:t>
      </w:r>
    </w:p>
    <w:p w14:paraId="755F92D1" w14:textId="77777777" w:rsidR="00625858" w:rsidRDefault="00AE398F">
      <w:pPr>
        <w:spacing w:after="0" w:line="275" w:lineRule="atLeast"/>
        <w:jc w:val="both"/>
      </w:pPr>
      <w:r>
        <w:rPr>
          <w:rFonts w:ascii="Times New Roman" w:hAnsi="Times New Roman"/>
          <w:color w:val="000000"/>
          <w:sz w:val="20"/>
        </w:rPr>
        <w:t> </w:t>
      </w:r>
    </w:p>
    <w:p w14:paraId="6E905395" w14:textId="77777777" w:rsidR="00625858" w:rsidRDefault="00AE398F">
      <w:pPr>
        <w:spacing w:before="400" w:after="0" w:line="275" w:lineRule="atLeast"/>
        <w:jc w:val="center"/>
      </w:pPr>
      <w:r>
        <w:rPr>
          <w:rFonts w:ascii="Times New Roman" w:hAnsi="Times New Roman"/>
          <w:b/>
          <w:color w:val="000000"/>
          <w:sz w:val="20"/>
        </w:rPr>
        <w:t>CONCLUSION</w:t>
      </w:r>
    </w:p>
    <w:p w14:paraId="31E37E7B" w14:textId="77777777" w:rsidR="00625858" w:rsidRDefault="00AE398F">
      <w:pPr>
        <w:spacing w:before="200" w:after="0" w:line="275" w:lineRule="atLeast"/>
        <w:jc w:val="both"/>
      </w:pPr>
      <w:r>
        <w:rPr>
          <w:rFonts w:ascii="Times New Roman" w:hAnsi="Times New Roman"/>
          <w:color w:val="000000"/>
          <w:sz w:val="20"/>
        </w:rPr>
        <w:t>For the reasons discussed, ASSEC respectfully requests that this Court reverse the District Court'</w:t>
      </w:r>
      <w:r>
        <w:rPr>
          <w:rFonts w:ascii="Times New Roman" w:hAnsi="Times New Roman"/>
          <w:color w:val="000000"/>
          <w:sz w:val="20"/>
        </w:rPr>
        <w:t>s summary judgment for Markel, render summary judgment in favor of ASSEC on the duty to defend, vacate the District Court's holding that Markel had no duty to indemnify, and remand for a jury trial to determine the amount Markel owes ASSEC for its breach o</w:t>
      </w:r>
      <w:r>
        <w:rPr>
          <w:rFonts w:ascii="Times New Roman" w:hAnsi="Times New Roman"/>
          <w:color w:val="000000"/>
          <w:sz w:val="20"/>
        </w:rPr>
        <w:t>f the insurance contract and abnormal bad faith.</w:t>
      </w:r>
    </w:p>
    <w:p w14:paraId="7F77F831" w14:textId="77777777" w:rsidR="00625858" w:rsidRDefault="00AE398F">
      <w:pPr>
        <w:spacing w:after="0" w:line="275" w:lineRule="atLeast"/>
        <w:jc w:val="both"/>
      </w:pPr>
      <w:r>
        <w:rPr>
          <w:rFonts w:ascii="Times New Roman" w:hAnsi="Times New Roman"/>
          <w:color w:val="000000"/>
          <w:sz w:val="20"/>
        </w:rPr>
        <w:t> </w:t>
      </w:r>
    </w:p>
    <w:p w14:paraId="387962E4" w14:textId="77777777" w:rsidR="00625858" w:rsidRDefault="00AE398F">
      <w:pPr>
        <w:spacing w:after="0" w:line="275" w:lineRule="atLeast"/>
        <w:jc w:val="both"/>
      </w:pPr>
      <w:r>
        <w:rPr>
          <w:rFonts w:ascii="Times New Roman" w:hAnsi="Times New Roman"/>
          <w:b/>
          <w:color w:val="000000"/>
          <w:sz w:val="20"/>
        </w:rPr>
        <w:t>*28</w:t>
      </w:r>
      <w:r>
        <w:rPr>
          <w:rFonts w:ascii="Times New Roman" w:hAnsi="Times New Roman"/>
          <w:color w:val="000000"/>
          <w:sz w:val="20"/>
        </w:rPr>
        <w:t xml:space="preserve"> Dated: January 19, 2022</w:t>
      </w:r>
    </w:p>
    <w:p w14:paraId="23D39EAB" w14:textId="77777777" w:rsidR="00625858" w:rsidRDefault="00AE398F">
      <w:pPr>
        <w:spacing w:after="0" w:line="275" w:lineRule="atLeast"/>
        <w:jc w:val="both"/>
      </w:pPr>
      <w:r>
        <w:rPr>
          <w:rFonts w:ascii="Times New Roman" w:hAnsi="Times New Roman"/>
          <w:color w:val="000000"/>
          <w:sz w:val="20"/>
        </w:rPr>
        <w:t> </w:t>
      </w:r>
    </w:p>
    <w:p w14:paraId="087AD7CC" w14:textId="77777777" w:rsidR="00625858" w:rsidRDefault="00AE398F">
      <w:pPr>
        <w:spacing w:after="0" w:line="275" w:lineRule="atLeast"/>
        <w:jc w:val="both"/>
      </w:pPr>
      <w:r>
        <w:rPr>
          <w:rFonts w:ascii="Times New Roman" w:hAnsi="Times New Roman"/>
          <w:color w:val="000000"/>
          <w:sz w:val="20"/>
        </w:rPr>
        <w:t>Respectfully submitted,</w:t>
      </w:r>
    </w:p>
    <w:p w14:paraId="6BB56022" w14:textId="77777777" w:rsidR="00625858" w:rsidRDefault="00AE398F">
      <w:pPr>
        <w:spacing w:after="0" w:line="275" w:lineRule="atLeast"/>
        <w:jc w:val="both"/>
      </w:pPr>
      <w:r>
        <w:rPr>
          <w:rFonts w:ascii="Times New Roman" w:hAnsi="Times New Roman"/>
          <w:color w:val="000000"/>
          <w:sz w:val="20"/>
        </w:rPr>
        <w:t> </w:t>
      </w:r>
    </w:p>
    <w:p w14:paraId="2835ECF1" w14:textId="77777777" w:rsidR="00625858" w:rsidRDefault="00AE398F">
      <w:pPr>
        <w:spacing w:after="0" w:line="275" w:lineRule="atLeast"/>
        <w:jc w:val="both"/>
      </w:pPr>
      <w:r>
        <w:rPr>
          <w:rFonts w:ascii="Times New Roman" w:hAnsi="Times New Roman"/>
          <w:color w:val="000000"/>
          <w:sz w:val="20"/>
        </w:rPr>
        <w:t>/s/ Alicia Kate Margolis</w:t>
      </w:r>
    </w:p>
    <w:p w14:paraId="37CFA54E" w14:textId="77777777" w:rsidR="00625858" w:rsidRDefault="00AE398F">
      <w:pPr>
        <w:spacing w:after="0" w:line="275" w:lineRule="atLeast"/>
        <w:jc w:val="both"/>
      </w:pPr>
      <w:r>
        <w:rPr>
          <w:rFonts w:ascii="Times New Roman" w:hAnsi="Times New Roman"/>
          <w:color w:val="000000"/>
          <w:sz w:val="20"/>
        </w:rPr>
        <w:t> </w:t>
      </w:r>
    </w:p>
    <w:p w14:paraId="34056D50" w14:textId="77777777" w:rsidR="00625858" w:rsidRDefault="00AE398F">
      <w:pPr>
        <w:spacing w:after="0" w:line="275" w:lineRule="atLeast"/>
        <w:jc w:val="both"/>
      </w:pPr>
      <w:r>
        <w:rPr>
          <w:rFonts w:ascii="Times New Roman" w:hAnsi="Times New Roman"/>
          <w:color w:val="000000"/>
          <w:sz w:val="20"/>
        </w:rPr>
        <w:t>Alicia Kate Margolis</w:t>
      </w:r>
    </w:p>
    <w:p w14:paraId="4F3F76F2" w14:textId="77777777" w:rsidR="00625858" w:rsidRDefault="00AE398F">
      <w:pPr>
        <w:spacing w:after="0" w:line="275" w:lineRule="atLeast"/>
        <w:jc w:val="both"/>
      </w:pPr>
      <w:r>
        <w:rPr>
          <w:rFonts w:ascii="Times New Roman" w:hAnsi="Times New Roman"/>
          <w:color w:val="000000"/>
          <w:sz w:val="20"/>
        </w:rPr>
        <w:t> </w:t>
      </w:r>
    </w:p>
    <w:p w14:paraId="50C2F66F" w14:textId="77777777" w:rsidR="00625858" w:rsidRDefault="00AE398F">
      <w:pPr>
        <w:spacing w:after="0" w:line="275" w:lineRule="atLeast"/>
        <w:jc w:val="both"/>
      </w:pPr>
      <w:r>
        <w:rPr>
          <w:rFonts w:ascii="Times New Roman" w:hAnsi="Times New Roman"/>
          <w:color w:val="000000"/>
          <w:sz w:val="20"/>
        </w:rPr>
        <w:t xml:space="preserve">Bradley </w:t>
      </w:r>
      <w:proofErr w:type="spellStart"/>
      <w:r>
        <w:rPr>
          <w:rFonts w:ascii="Times New Roman" w:hAnsi="Times New Roman"/>
          <w:color w:val="000000"/>
          <w:sz w:val="20"/>
        </w:rPr>
        <w:t>Arant</w:t>
      </w:r>
      <w:proofErr w:type="spellEnd"/>
      <w:r>
        <w:rPr>
          <w:rFonts w:ascii="Times New Roman" w:hAnsi="Times New Roman"/>
          <w:color w:val="000000"/>
          <w:sz w:val="20"/>
        </w:rPr>
        <w:t xml:space="preserve"> Boult Cummings LLP</w:t>
      </w:r>
    </w:p>
    <w:p w14:paraId="6274D5F7" w14:textId="77777777" w:rsidR="00625858" w:rsidRDefault="00AE398F">
      <w:pPr>
        <w:spacing w:after="0" w:line="275" w:lineRule="atLeast"/>
        <w:jc w:val="both"/>
      </w:pPr>
      <w:r>
        <w:rPr>
          <w:rFonts w:ascii="Times New Roman" w:hAnsi="Times New Roman"/>
          <w:color w:val="000000"/>
          <w:sz w:val="20"/>
        </w:rPr>
        <w:t> </w:t>
      </w:r>
    </w:p>
    <w:p w14:paraId="3741562C" w14:textId="77777777" w:rsidR="00625858" w:rsidRDefault="00AE398F">
      <w:pPr>
        <w:spacing w:after="0" w:line="275" w:lineRule="atLeast"/>
        <w:jc w:val="both"/>
      </w:pPr>
      <w:r>
        <w:rPr>
          <w:rFonts w:ascii="Times New Roman" w:hAnsi="Times New Roman"/>
          <w:color w:val="000000"/>
          <w:sz w:val="20"/>
        </w:rPr>
        <w:t>188 East Capitol Street, Suite 1000</w:t>
      </w:r>
    </w:p>
    <w:p w14:paraId="6093AFF9" w14:textId="77777777" w:rsidR="00625858" w:rsidRDefault="00AE398F">
      <w:pPr>
        <w:spacing w:after="0" w:line="275" w:lineRule="atLeast"/>
        <w:jc w:val="both"/>
      </w:pPr>
      <w:r>
        <w:rPr>
          <w:rFonts w:ascii="Times New Roman" w:hAnsi="Times New Roman"/>
          <w:color w:val="000000"/>
          <w:sz w:val="20"/>
        </w:rPr>
        <w:t> </w:t>
      </w:r>
    </w:p>
    <w:p w14:paraId="1CD2C311" w14:textId="77777777" w:rsidR="00625858" w:rsidRDefault="00AE398F">
      <w:pPr>
        <w:spacing w:after="0" w:line="275" w:lineRule="atLeast"/>
        <w:jc w:val="both"/>
      </w:pPr>
      <w:r>
        <w:rPr>
          <w:rFonts w:ascii="Times New Roman" w:hAnsi="Times New Roman"/>
          <w:color w:val="000000"/>
          <w:sz w:val="20"/>
        </w:rPr>
        <w:t>Jackson, MS 39201</w:t>
      </w:r>
    </w:p>
    <w:p w14:paraId="5C923452" w14:textId="77777777" w:rsidR="00625858" w:rsidRDefault="00AE398F">
      <w:pPr>
        <w:spacing w:after="0" w:line="275" w:lineRule="atLeast"/>
        <w:jc w:val="both"/>
      </w:pPr>
      <w:r>
        <w:rPr>
          <w:rFonts w:ascii="Times New Roman" w:hAnsi="Times New Roman"/>
          <w:color w:val="000000"/>
          <w:sz w:val="20"/>
        </w:rPr>
        <w:t> </w:t>
      </w:r>
    </w:p>
    <w:p w14:paraId="6FEE2320" w14:textId="77777777" w:rsidR="00625858" w:rsidRDefault="00AE398F">
      <w:pPr>
        <w:spacing w:after="0" w:line="275" w:lineRule="atLeast"/>
        <w:jc w:val="both"/>
      </w:pPr>
      <w:r>
        <w:rPr>
          <w:rFonts w:ascii="Times New Roman" w:hAnsi="Times New Roman"/>
          <w:color w:val="000000"/>
          <w:sz w:val="20"/>
        </w:rPr>
        <w:t>Teleph</w:t>
      </w:r>
      <w:r>
        <w:rPr>
          <w:rFonts w:ascii="Times New Roman" w:hAnsi="Times New Roman"/>
          <w:color w:val="000000"/>
          <w:sz w:val="20"/>
        </w:rPr>
        <w:t>one: (601) 592-9930</w:t>
      </w:r>
    </w:p>
    <w:p w14:paraId="1DC66DB3" w14:textId="77777777" w:rsidR="00625858" w:rsidRDefault="00AE398F">
      <w:pPr>
        <w:spacing w:after="0" w:line="275" w:lineRule="atLeast"/>
        <w:jc w:val="both"/>
      </w:pPr>
      <w:r>
        <w:rPr>
          <w:rFonts w:ascii="Times New Roman" w:hAnsi="Times New Roman"/>
          <w:color w:val="000000"/>
          <w:sz w:val="20"/>
        </w:rPr>
        <w:t> </w:t>
      </w:r>
    </w:p>
    <w:p w14:paraId="606B353B" w14:textId="77777777" w:rsidR="00625858" w:rsidRDefault="00AE398F">
      <w:pPr>
        <w:spacing w:after="0" w:line="275" w:lineRule="atLeast"/>
        <w:jc w:val="both"/>
      </w:pPr>
      <w:r>
        <w:rPr>
          <w:rFonts w:ascii="Times New Roman" w:hAnsi="Times New Roman"/>
          <w:color w:val="000000"/>
          <w:sz w:val="20"/>
        </w:rPr>
        <w:t>Fax: (601) 948-3000</w:t>
      </w:r>
    </w:p>
    <w:p w14:paraId="0BE60409" w14:textId="77777777" w:rsidR="00625858" w:rsidRDefault="00AE398F">
      <w:pPr>
        <w:spacing w:after="0" w:line="275" w:lineRule="atLeast"/>
        <w:jc w:val="both"/>
      </w:pPr>
      <w:r>
        <w:rPr>
          <w:rFonts w:ascii="Times New Roman" w:hAnsi="Times New Roman"/>
          <w:color w:val="000000"/>
          <w:sz w:val="20"/>
        </w:rPr>
        <w:t> </w:t>
      </w:r>
    </w:p>
    <w:p w14:paraId="12357A74" w14:textId="77777777" w:rsidR="00625858" w:rsidRDefault="00AE398F">
      <w:pPr>
        <w:spacing w:after="0" w:line="275" w:lineRule="atLeast"/>
        <w:jc w:val="both"/>
      </w:pPr>
      <w:r>
        <w:rPr>
          <w:rFonts w:ascii="Times New Roman" w:hAnsi="Times New Roman"/>
          <w:color w:val="000000"/>
          <w:sz w:val="20"/>
        </w:rPr>
        <w:t>kmargolis@bradley.com</w:t>
      </w:r>
    </w:p>
    <w:p w14:paraId="28A77BEC" w14:textId="77777777" w:rsidR="00625858" w:rsidRDefault="00AE398F">
      <w:pPr>
        <w:spacing w:after="0" w:line="275" w:lineRule="atLeast"/>
        <w:jc w:val="both"/>
      </w:pPr>
      <w:r>
        <w:rPr>
          <w:rFonts w:ascii="Times New Roman" w:hAnsi="Times New Roman"/>
          <w:color w:val="000000"/>
          <w:sz w:val="20"/>
        </w:rPr>
        <w:t> </w:t>
      </w:r>
    </w:p>
    <w:p w14:paraId="3C49E706" w14:textId="77777777" w:rsidR="00625858" w:rsidRDefault="00AE398F">
      <w:pPr>
        <w:spacing w:after="0" w:line="275" w:lineRule="atLeast"/>
        <w:jc w:val="both"/>
      </w:pPr>
      <w:r>
        <w:rPr>
          <w:rFonts w:ascii="Times New Roman" w:hAnsi="Times New Roman"/>
          <w:i/>
          <w:color w:val="000000"/>
          <w:sz w:val="20"/>
        </w:rPr>
        <w:t>Counsel for Appellant</w:t>
      </w:r>
    </w:p>
    <w:p w14:paraId="7A30A64C" w14:textId="41865598" w:rsidR="00625858" w:rsidRDefault="00625858">
      <w:pPr>
        <w:spacing w:after="0" w:line="275" w:lineRule="atLeast"/>
        <w:jc w:val="both"/>
      </w:pPr>
    </w:p>
    <w:sectPr w:rsidR="00625858">
      <w:headerReference w:type="even" r:id="rId6"/>
      <w:headerReference w:type="default" r:id="rId7"/>
      <w:footerReference w:type="even" r:id="rId8"/>
      <w:footerReference w:type="default" r:id="rId9"/>
      <w:pgSz w:w="12240" w:h="15840"/>
      <w:pgMar w:top="1080" w:right="1080" w:bottom="108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033F06" w14:textId="77777777" w:rsidR="00AE398F" w:rsidRDefault="00AE398F">
      <w:pPr>
        <w:spacing w:after="0" w:line="240" w:lineRule="auto"/>
      </w:pPr>
      <w:r>
        <w:separator/>
      </w:r>
    </w:p>
  </w:endnote>
  <w:endnote w:type="continuationSeparator" w:id="0">
    <w:p w14:paraId="4295B1CD" w14:textId="77777777" w:rsidR="00AE398F" w:rsidRDefault="00AE3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10" w:type="dxa"/>
      <w:tblLayout w:type="fixed"/>
      <w:tblCellMar>
        <w:left w:w="10" w:type="dxa"/>
        <w:right w:w="10" w:type="dxa"/>
      </w:tblCellMar>
      <w:tblLook w:val="04A0" w:firstRow="1" w:lastRow="0" w:firstColumn="1" w:lastColumn="0" w:noHBand="0" w:noVBand="1"/>
    </w:tblPr>
    <w:tblGrid>
      <w:gridCol w:w="9270"/>
      <w:gridCol w:w="690"/>
    </w:tblGrid>
    <w:tr w:rsidR="00625858" w14:paraId="718D8A2E" w14:textId="77777777">
      <w:tblPrEx>
        <w:tblCellMar>
          <w:top w:w="0" w:type="dxa"/>
          <w:bottom w:w="0" w:type="dxa"/>
        </w:tblCellMar>
      </w:tblPrEx>
      <w:tc>
        <w:tcPr>
          <w:tcW w:w="9270" w:type="dxa"/>
          <w:tcBorders>
            <w:top w:val="single" w:sz="6" w:space="0" w:color="AAAAAA"/>
          </w:tcBorders>
          <w:tcMar>
            <w:top w:w="60" w:type="dxa"/>
          </w:tcMar>
          <w:vAlign w:val="bottom"/>
        </w:tcPr>
        <w:p w14:paraId="2E41CB7B" w14:textId="77777777" w:rsidR="00625858" w:rsidRDefault="00AE398F">
          <w:pPr>
            <w:spacing w:after="0" w:line="240" w:lineRule="auto"/>
          </w:pPr>
          <w:r>
            <w:rPr>
              <w:rFonts w:ascii="Arial" w:hAnsi="Arial"/>
              <w:noProof/>
              <w:color w:val="AAAAAA"/>
              <w:sz w:val="20"/>
            </w:rPr>
            <w:drawing>
              <wp:inline distT="0" distB="0" distL="0" distR="0" wp14:anchorId="5AEFC198" wp14:editId="3AE2DAC2">
                <wp:extent cx="742950" cy="95250"/>
                <wp:effectExtent l="0" t="0" r="0" b="0"/>
                <wp:docPr id="2" name="Picture 0" descr="Westlaw Logo"/>
                <wp:cNvGraphicFramePr/>
                <a:graphic xmlns:a="http://schemas.openxmlformats.org/drawingml/2006/main">
                  <a:graphicData uri="http://schemas.openxmlformats.org/drawingml/2006/picture">
                    <pic:pic xmlns:pic="http://schemas.openxmlformats.org/drawingml/2006/picture">
                      <pic:nvPicPr>
                        <pic:cNvPr id="106" name="Picture 0" descr="Westlaw Logo"/>
                        <pic:cNvPicPr/>
                      </pic:nvPicPr>
                      <pic:blipFill>
                        <a:blip r:embed="rId1"/>
                        <a:srcRect/>
                        <a:stretch>
                          <a:fillRect/>
                        </a:stretch>
                      </pic:blipFill>
                      <pic:spPr>
                        <a:xfrm>
                          <a:off x="0" y="0"/>
                          <a:ext cx="742950" cy="95250"/>
                        </a:xfrm>
                        <a:prstGeom prst="rect">
                          <a:avLst/>
                        </a:prstGeom>
                      </pic:spPr>
                    </pic:pic>
                  </a:graphicData>
                </a:graphic>
              </wp:inline>
            </w:drawing>
          </w:r>
          <w:r>
            <w:rPr>
              <w:rFonts w:ascii="Arial" w:hAnsi="Arial"/>
              <w:color w:val="AAAAAA"/>
              <w:sz w:val="20"/>
            </w:rPr>
            <w:t xml:space="preserve"> © 2022 Thomson Reuters. No claim to original U.S. Government Works.</w:t>
          </w:r>
        </w:p>
      </w:tc>
      <w:tc>
        <w:tcPr>
          <w:tcW w:w="690" w:type="dxa"/>
          <w:tcBorders>
            <w:top w:val="single" w:sz="6" w:space="0" w:color="AAAAAA"/>
          </w:tcBorders>
          <w:tcMar>
            <w:top w:w="60" w:type="dxa"/>
          </w:tcMar>
        </w:tcPr>
        <w:p w14:paraId="2D27F923" w14:textId="77777777" w:rsidR="00625858" w:rsidRDefault="00AE398F">
          <w:pPr>
            <w:spacing w:after="0" w:line="240" w:lineRule="auto"/>
            <w:jc w:val="right"/>
          </w:pPr>
          <w:r>
            <w:rPr>
              <w:rFonts w:ascii="Arial" w:hAnsi="Arial"/>
              <w:color w:val="AAAAAA"/>
              <w:sz w:val="20"/>
            </w:rPr>
            <w:pgNum/>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10" w:type="dxa"/>
      <w:tblLayout w:type="fixed"/>
      <w:tblCellMar>
        <w:left w:w="10" w:type="dxa"/>
        <w:right w:w="10" w:type="dxa"/>
      </w:tblCellMar>
      <w:tblLook w:val="04A0" w:firstRow="1" w:lastRow="0" w:firstColumn="1" w:lastColumn="0" w:noHBand="0" w:noVBand="1"/>
    </w:tblPr>
    <w:tblGrid>
      <w:gridCol w:w="9270"/>
      <w:gridCol w:w="690"/>
    </w:tblGrid>
    <w:tr w:rsidR="00625858" w14:paraId="55998FEA" w14:textId="77777777">
      <w:tblPrEx>
        <w:tblCellMar>
          <w:top w:w="0" w:type="dxa"/>
          <w:bottom w:w="0" w:type="dxa"/>
        </w:tblCellMar>
      </w:tblPrEx>
      <w:tc>
        <w:tcPr>
          <w:tcW w:w="9270" w:type="dxa"/>
          <w:tcBorders>
            <w:top w:val="single" w:sz="6" w:space="0" w:color="AAAAAA"/>
          </w:tcBorders>
          <w:tcMar>
            <w:top w:w="60" w:type="dxa"/>
          </w:tcMar>
          <w:vAlign w:val="bottom"/>
        </w:tcPr>
        <w:p w14:paraId="000BEA5E" w14:textId="77777777" w:rsidR="00625858" w:rsidRDefault="00AE398F">
          <w:pPr>
            <w:spacing w:after="0" w:line="240" w:lineRule="auto"/>
          </w:pPr>
          <w:r>
            <w:rPr>
              <w:rFonts w:ascii="Arial" w:hAnsi="Arial"/>
              <w:noProof/>
              <w:color w:val="AAAAAA"/>
              <w:sz w:val="20"/>
            </w:rPr>
            <w:drawing>
              <wp:inline distT="0" distB="0" distL="0" distR="0" wp14:anchorId="2BEF0597" wp14:editId="0BB645C7">
                <wp:extent cx="742950" cy="95250"/>
                <wp:effectExtent l="0" t="0" r="0" b="0"/>
                <wp:docPr id="105" name="Picture 0" descr="Westlaw Logo"/>
                <wp:cNvGraphicFramePr/>
                <a:graphic xmlns:a="http://schemas.openxmlformats.org/drawingml/2006/main">
                  <a:graphicData uri="http://schemas.openxmlformats.org/drawingml/2006/picture">
                    <pic:pic xmlns:pic="http://schemas.openxmlformats.org/drawingml/2006/picture">
                      <pic:nvPicPr>
                        <pic:cNvPr id="106" name="Picture 0" descr="Westlaw Logo"/>
                        <pic:cNvPicPr/>
                      </pic:nvPicPr>
                      <pic:blipFill>
                        <a:blip r:embed="rId1"/>
                        <a:srcRect/>
                        <a:stretch>
                          <a:fillRect/>
                        </a:stretch>
                      </pic:blipFill>
                      <pic:spPr>
                        <a:xfrm>
                          <a:off x="0" y="0"/>
                          <a:ext cx="742950" cy="95250"/>
                        </a:xfrm>
                        <a:prstGeom prst="rect">
                          <a:avLst/>
                        </a:prstGeom>
                      </pic:spPr>
                    </pic:pic>
                  </a:graphicData>
                </a:graphic>
              </wp:inline>
            </w:drawing>
          </w:r>
          <w:r>
            <w:rPr>
              <w:rFonts w:ascii="Arial" w:hAnsi="Arial"/>
              <w:color w:val="AAAAAA"/>
              <w:sz w:val="20"/>
            </w:rPr>
            <w:t xml:space="preserve"> © 2022 Thomson Reuters. No claim to original U.S. Government Works.</w:t>
          </w:r>
        </w:p>
      </w:tc>
      <w:tc>
        <w:tcPr>
          <w:tcW w:w="690" w:type="dxa"/>
          <w:tcBorders>
            <w:top w:val="single" w:sz="6" w:space="0" w:color="AAAAAA"/>
          </w:tcBorders>
          <w:tcMar>
            <w:top w:w="60" w:type="dxa"/>
          </w:tcMar>
        </w:tcPr>
        <w:p w14:paraId="642AB61E" w14:textId="77777777" w:rsidR="00625858" w:rsidRDefault="00AE398F">
          <w:pPr>
            <w:spacing w:after="0" w:line="240" w:lineRule="auto"/>
            <w:jc w:val="right"/>
          </w:pPr>
          <w:r>
            <w:rPr>
              <w:rFonts w:ascii="Arial" w:hAnsi="Arial"/>
              <w:color w:val="AAAAAA"/>
              <w:sz w:val="20"/>
            </w:rPr>
            <w:pgNum/>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B619A1" w14:textId="77777777" w:rsidR="00AE398F" w:rsidRDefault="00AE398F">
      <w:pPr>
        <w:spacing w:after="0" w:line="240" w:lineRule="auto"/>
      </w:pPr>
      <w:r>
        <w:separator/>
      </w:r>
    </w:p>
  </w:footnote>
  <w:footnote w:type="continuationSeparator" w:id="0">
    <w:p w14:paraId="24E123D7" w14:textId="77777777" w:rsidR="00AE398F" w:rsidRDefault="00AE3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10" w:type="dxa"/>
      <w:tblLayout w:type="fixed"/>
      <w:tblCellMar>
        <w:left w:w="10" w:type="dxa"/>
        <w:right w:w="10" w:type="dxa"/>
      </w:tblCellMar>
      <w:tblLook w:val="04A0" w:firstRow="1" w:lastRow="0" w:firstColumn="1" w:lastColumn="0" w:noHBand="0" w:noVBand="1"/>
    </w:tblPr>
    <w:tblGrid>
      <w:gridCol w:w="9360"/>
      <w:gridCol w:w="705"/>
    </w:tblGrid>
    <w:tr w:rsidR="00625858" w14:paraId="2BF04487" w14:textId="77777777">
      <w:tblPrEx>
        <w:tblCellMar>
          <w:top w:w="0" w:type="dxa"/>
          <w:bottom w:w="0" w:type="dxa"/>
        </w:tblCellMar>
      </w:tblPrEx>
      <w:tc>
        <w:tcPr>
          <w:tcW w:w="9360" w:type="dxa"/>
          <w:tcBorders>
            <w:bottom w:val="single" w:sz="6" w:space="0" w:color="AAAAAA"/>
          </w:tcBorders>
          <w:tcMar>
            <w:top w:w="390" w:type="dxa"/>
            <w:bottom w:w="60" w:type="dxa"/>
          </w:tcMar>
          <w:vAlign w:val="bottom"/>
        </w:tcPr>
        <w:p w14:paraId="0E79E933" w14:textId="77777777" w:rsidR="00625858" w:rsidRDefault="00AE398F">
          <w:pPr>
            <w:spacing w:after="0" w:line="240" w:lineRule="auto"/>
          </w:pPr>
          <w:r>
            <w:rPr>
              <w:rFonts w:ascii="Arial" w:hAnsi="Arial"/>
              <w:b/>
              <w:color w:val="555555"/>
              <w:sz w:val="18"/>
            </w:rPr>
            <w:t>ALABAMA SPACE SCIENCE EXHIBIT COMMISSION,..., 2022 WL 203106 (2022)</w:t>
          </w:r>
        </w:p>
      </w:tc>
      <w:tc>
        <w:tcPr>
          <w:tcW w:w="705" w:type="dxa"/>
          <w:tcBorders>
            <w:bottom w:val="single" w:sz="6" w:space="0" w:color="AAAAAA"/>
          </w:tcBorders>
          <w:tcMar>
            <w:top w:w="390" w:type="dxa"/>
            <w:bottom w:w="60" w:type="dxa"/>
          </w:tcMar>
        </w:tcPr>
        <w:p w14:paraId="75F3FAFA" w14:textId="77777777" w:rsidR="00625858" w:rsidRDefault="00625858">
          <w:pPr>
            <w:spacing w:after="0" w:line="240" w:lineRule="auto"/>
            <w:rPr>
              <w:rFonts w:ascii="Arial" w:hAnsi="Arial"/>
              <w:color w:val="000000"/>
              <w:sz w:val="18"/>
            </w:rPr>
          </w:pPr>
        </w:p>
      </w:tc>
    </w:tr>
    <w:tr w:rsidR="00ED51A6" w14:paraId="0B40F672" w14:textId="77777777" w:rsidTr="00ED51A6">
      <w:tblPrEx>
        <w:tblCellMar>
          <w:top w:w="0" w:type="dxa"/>
          <w:bottom w:w="0" w:type="dxa"/>
        </w:tblCellMar>
      </w:tblPrEx>
      <w:tc>
        <w:tcPr>
          <w:tcW w:w="10065" w:type="dxa"/>
          <w:gridSpan w:val="2"/>
        </w:tcPr>
        <w:p w14:paraId="3B81C4B0" w14:textId="77777777" w:rsidR="00625858" w:rsidRDefault="00625858">
          <w:pPr>
            <w:spacing w:after="0" w:line="240" w:lineRule="auto"/>
            <w:rPr>
              <w:rFonts w:ascii="Arial" w:hAnsi="Arial"/>
              <w:color w:val="000000"/>
              <w:sz w:val="18"/>
            </w:rPr>
          </w:pPr>
        </w:p>
      </w:tc>
    </w:tr>
  </w:tbl>
  <w:p w14:paraId="563B2CBC" w14:textId="77777777" w:rsidR="00625858" w:rsidRDefault="00AE398F">
    <w:pPr>
      <w:spacing w:after="0" w:line="240" w:lineRule="auto"/>
    </w:pPr>
    <w:r>
      <w:rPr>
        <w:rFonts w:ascii="Arial" w:hAnsi="Arial"/>
        <w:color w:val="000000"/>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10" w:type="dxa"/>
      <w:tblLayout w:type="fixed"/>
      <w:tblCellMar>
        <w:left w:w="10" w:type="dxa"/>
        <w:right w:w="10" w:type="dxa"/>
      </w:tblCellMar>
      <w:tblLook w:val="04A0" w:firstRow="1" w:lastRow="0" w:firstColumn="1" w:lastColumn="0" w:noHBand="0" w:noVBand="1"/>
    </w:tblPr>
    <w:tblGrid>
      <w:gridCol w:w="9360"/>
      <w:gridCol w:w="705"/>
    </w:tblGrid>
    <w:tr w:rsidR="00625858" w14:paraId="06C669A0" w14:textId="77777777">
      <w:tblPrEx>
        <w:tblCellMar>
          <w:top w:w="0" w:type="dxa"/>
          <w:bottom w:w="0" w:type="dxa"/>
        </w:tblCellMar>
      </w:tblPrEx>
      <w:tc>
        <w:tcPr>
          <w:tcW w:w="9360" w:type="dxa"/>
          <w:tcBorders>
            <w:bottom w:val="single" w:sz="6" w:space="0" w:color="AAAAAA"/>
          </w:tcBorders>
          <w:tcMar>
            <w:top w:w="390" w:type="dxa"/>
            <w:bottom w:w="60" w:type="dxa"/>
          </w:tcMar>
          <w:vAlign w:val="bottom"/>
        </w:tcPr>
        <w:p w14:paraId="478CAD5C" w14:textId="77777777" w:rsidR="00625858" w:rsidRDefault="00AE398F">
          <w:pPr>
            <w:spacing w:after="0" w:line="240" w:lineRule="auto"/>
          </w:pPr>
          <w:r>
            <w:rPr>
              <w:rFonts w:ascii="Arial" w:hAnsi="Arial"/>
              <w:b/>
              <w:color w:val="555555"/>
              <w:sz w:val="18"/>
            </w:rPr>
            <w:t xml:space="preserve">ALABAMA SPACE </w:t>
          </w:r>
          <w:r>
            <w:rPr>
              <w:rFonts w:ascii="Arial" w:hAnsi="Arial"/>
              <w:b/>
              <w:color w:val="555555"/>
              <w:sz w:val="18"/>
            </w:rPr>
            <w:t>SCIENCE EXHIBIT COMMISSION,..., 2022 WL 203106 (2022)</w:t>
          </w:r>
        </w:p>
      </w:tc>
      <w:tc>
        <w:tcPr>
          <w:tcW w:w="705" w:type="dxa"/>
          <w:tcBorders>
            <w:bottom w:val="single" w:sz="6" w:space="0" w:color="AAAAAA"/>
          </w:tcBorders>
          <w:tcMar>
            <w:top w:w="390" w:type="dxa"/>
            <w:bottom w:w="60" w:type="dxa"/>
          </w:tcMar>
        </w:tcPr>
        <w:p w14:paraId="7AE38DDE" w14:textId="77777777" w:rsidR="00625858" w:rsidRDefault="00625858">
          <w:pPr>
            <w:spacing w:after="0" w:line="240" w:lineRule="auto"/>
            <w:rPr>
              <w:rFonts w:ascii="Arial" w:hAnsi="Arial"/>
              <w:color w:val="000000"/>
              <w:sz w:val="18"/>
            </w:rPr>
          </w:pPr>
        </w:p>
      </w:tc>
    </w:tr>
    <w:tr w:rsidR="00ED51A6" w14:paraId="70D7D400" w14:textId="77777777" w:rsidTr="00ED51A6">
      <w:tblPrEx>
        <w:tblCellMar>
          <w:top w:w="0" w:type="dxa"/>
          <w:bottom w:w="0" w:type="dxa"/>
        </w:tblCellMar>
      </w:tblPrEx>
      <w:tc>
        <w:tcPr>
          <w:tcW w:w="10065" w:type="dxa"/>
          <w:gridSpan w:val="2"/>
        </w:tcPr>
        <w:p w14:paraId="04CEC8DD" w14:textId="77777777" w:rsidR="00625858" w:rsidRDefault="00625858">
          <w:pPr>
            <w:spacing w:after="0" w:line="240" w:lineRule="auto"/>
            <w:rPr>
              <w:rFonts w:ascii="Arial" w:hAnsi="Arial"/>
              <w:color w:val="000000"/>
              <w:sz w:val="18"/>
            </w:rPr>
          </w:pPr>
        </w:p>
      </w:tc>
    </w:tr>
  </w:tbl>
  <w:p w14:paraId="22ECEE40" w14:textId="77777777" w:rsidR="00625858" w:rsidRDefault="00AE398F">
    <w:pPr>
      <w:spacing w:after="0" w:line="240" w:lineRule="auto"/>
    </w:pPr>
    <w:r>
      <w:rPr>
        <w:rFonts w:ascii="Arial" w:hAnsi="Arial"/>
        <w:color w:val="000000"/>
        <w:sz w:val="1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8"/>
  <w:doNotDisplayPageBoundaries/>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858"/>
    <w:rsid w:val="00391FE2"/>
    <w:rsid w:val="00625858"/>
    <w:rsid w:val="0092067E"/>
    <w:rsid w:val="00AB310B"/>
    <w:rsid w:val="00AE398F"/>
    <w:rsid w:val="00ED5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B846"/>
  <w15:docId w15:val="{DAC5856F-825A-42AC-B2D5-271A5B30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2C9FB67CBF9469E1433B0BE4FADB7" ma:contentTypeVersion="15" ma:contentTypeDescription="Create a new document." ma:contentTypeScope="" ma:versionID="09fe77ef8168f0baed331f7d05f1060b">
  <xsd:schema xmlns:xsd="http://www.w3.org/2001/XMLSchema" xmlns:xs="http://www.w3.org/2001/XMLSchema" xmlns:p="http://schemas.microsoft.com/office/2006/metadata/properties" xmlns:ns1="http://schemas.microsoft.com/sharepoint/v3" xmlns:ns2="014b7764-3bb9-4ab3-ab48-ce6d91ba3ae9" xmlns:ns3="d9828a66-5813-4772-9602-cf0f1b9eed5f" targetNamespace="http://schemas.microsoft.com/office/2006/metadata/properties" ma:root="true" ma:fieldsID="f7dd6e0434c3d3e92e9a1fa4df7ea9d1" ns1:_="" ns2:_="" ns3:_="">
    <xsd:import namespace="http://schemas.microsoft.com/sharepoint/v3"/>
    <xsd:import namespace="014b7764-3bb9-4ab3-ab48-ce6d91ba3ae9"/>
    <xsd:import namespace="d9828a66-5813-4772-9602-cf0f1b9eed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4b7764-3bb9-4ab3-ab48-ce6d91ba3a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828a66-5813-4772-9602-cf0f1b9eed5f"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A8C4344B-F1F5-40DD-98C5-6D25A2592712}"/>
</file>

<file path=customXml/itemProps2.xml><?xml version="1.0" encoding="utf-8"?>
<ds:datastoreItem xmlns:ds="http://schemas.openxmlformats.org/officeDocument/2006/customXml" ds:itemID="{FFAA5CED-DAD6-4F49-9C36-257DA4889F29}"/>
</file>

<file path=customXml/itemProps3.xml><?xml version="1.0" encoding="utf-8"?>
<ds:datastoreItem xmlns:ds="http://schemas.openxmlformats.org/officeDocument/2006/customXml" ds:itemID="{388BF44B-C602-46F1-BA8E-A56E3F4FE223}"/>
</file>

<file path=docProps/app.xml><?xml version="1.0" encoding="utf-8"?>
<Properties xmlns="http://schemas.openxmlformats.org/officeDocument/2006/extended-properties" xmlns:vt="http://schemas.openxmlformats.org/officeDocument/2006/docPropsVTypes">
  <Template>Normal.dotm</Template>
  <TotalTime>1</TotalTime>
  <Pages>10</Pages>
  <Words>4493</Words>
  <Characters>25616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Taylor</dc:creator>
  <cp:lastModifiedBy>Martin, Taylor</cp:lastModifiedBy>
  <cp:revision>2</cp:revision>
  <dcterms:created xsi:type="dcterms:W3CDTF">2022-01-25T21:10:00Z</dcterms:created>
  <dcterms:modified xsi:type="dcterms:W3CDTF">2022-01-25T21:10:00Z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0x01010040E2C9FB67CBF9469E1433B0BE4FADB7</vt:lpwstr>
  </property>
</Properties>
</file>