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20B607"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p>
    <w:p w14:paraId="75F3EA4E" w14:textId="77777777" w:rsidR="009F7F23" w:rsidRDefault="009F7F23">
      <w:pPr>
        <w:widowControl w:val="0"/>
        <w:autoSpaceDE w:val="0"/>
        <w:autoSpaceDN w:val="0"/>
        <w:adjustRightInd w:val="0"/>
        <w:spacing w:after="0" w:line="240" w:lineRule="auto"/>
        <w:jc w:val="center"/>
        <w:rPr>
          <w:rFonts w:ascii="Georgia" w:hAnsi="Georgia" w:cs="Georgia"/>
          <w:color w:val="000000"/>
          <w:sz w:val="26"/>
          <w:szCs w:val="26"/>
        </w:rPr>
      </w:pPr>
      <w:bookmarkStart w:id="0" w:name="co_document_1"/>
      <w:bookmarkStart w:id="1" w:name="I8f4489009f5811e5b10893af99153f48_Target"/>
      <w:bookmarkEnd w:id="0"/>
      <w:bookmarkEnd w:id="1"/>
      <w:r>
        <w:rPr>
          <w:rFonts w:ascii="Georgia" w:hAnsi="Georgia" w:cs="Georgia"/>
          <w:color w:val="000000"/>
          <w:sz w:val="26"/>
          <w:szCs w:val="26"/>
        </w:rPr>
        <w:t>United States District Court, D. Connecticut.</w:t>
      </w:r>
    </w:p>
    <w:p w14:paraId="2970A248" w14:textId="77777777" w:rsidR="009F7F23" w:rsidRDefault="00281DAB">
      <w:pPr>
        <w:widowControl w:val="0"/>
        <w:autoSpaceDE w:val="0"/>
        <w:autoSpaceDN w:val="0"/>
        <w:adjustRightInd w:val="0"/>
        <w:spacing w:before="260" w:after="0" w:line="240" w:lineRule="auto"/>
        <w:ind w:left="130" w:right="130"/>
        <w:jc w:val="center"/>
        <w:rPr>
          <w:rFonts w:ascii="Georgia" w:hAnsi="Georgia" w:cs="Georgia"/>
          <w:color w:val="252525"/>
          <w:sz w:val="26"/>
          <w:szCs w:val="26"/>
        </w:rPr>
      </w:pPr>
      <w:r>
        <w:rPr>
          <w:rFonts w:ascii="Georgia" w:hAnsi="Georgia" w:cs="Georgia"/>
          <w:color w:val="252525"/>
          <w:sz w:val="26"/>
          <w:szCs w:val="26"/>
        </w:rPr>
        <w:t>ROBERT A. ROBERTS</w:t>
      </w:r>
      <w:r w:rsidR="009F7F23">
        <w:rPr>
          <w:rFonts w:ascii="Georgia" w:hAnsi="Georgia" w:cs="Georgia"/>
          <w:color w:val="252525"/>
          <w:sz w:val="26"/>
          <w:szCs w:val="26"/>
        </w:rPr>
        <w:t>, Plaintiff,</w:t>
      </w:r>
    </w:p>
    <w:p w14:paraId="610E6604" w14:textId="77777777" w:rsidR="009F7F23" w:rsidRDefault="009F7F23">
      <w:pPr>
        <w:widowControl w:val="0"/>
        <w:autoSpaceDE w:val="0"/>
        <w:autoSpaceDN w:val="0"/>
        <w:adjustRightInd w:val="0"/>
        <w:spacing w:after="0" w:line="240" w:lineRule="auto"/>
        <w:ind w:left="130" w:right="130"/>
        <w:jc w:val="center"/>
        <w:rPr>
          <w:rFonts w:ascii="Georgia" w:hAnsi="Georgia" w:cs="Georgia"/>
          <w:color w:val="252525"/>
          <w:sz w:val="26"/>
          <w:szCs w:val="26"/>
        </w:rPr>
      </w:pPr>
      <w:r>
        <w:rPr>
          <w:rFonts w:ascii="Georgia" w:hAnsi="Georgia" w:cs="Georgia"/>
          <w:color w:val="252525"/>
          <w:sz w:val="26"/>
          <w:szCs w:val="26"/>
        </w:rPr>
        <w:t>v.</w:t>
      </w:r>
    </w:p>
    <w:p w14:paraId="006C9AB2" w14:textId="77777777" w:rsidR="009F7F23" w:rsidRDefault="00281DAB">
      <w:pPr>
        <w:widowControl w:val="0"/>
        <w:autoSpaceDE w:val="0"/>
        <w:autoSpaceDN w:val="0"/>
        <w:adjustRightInd w:val="0"/>
        <w:spacing w:after="260" w:line="240" w:lineRule="auto"/>
        <w:ind w:left="130" w:right="130"/>
        <w:jc w:val="center"/>
        <w:rPr>
          <w:rFonts w:ascii="Georgia" w:hAnsi="Georgia" w:cs="Georgia"/>
          <w:color w:val="252525"/>
          <w:sz w:val="26"/>
          <w:szCs w:val="26"/>
        </w:rPr>
      </w:pPr>
      <w:r>
        <w:rPr>
          <w:rFonts w:ascii="Georgia" w:hAnsi="Georgia" w:cs="Georgia"/>
          <w:color w:val="252525"/>
          <w:sz w:val="26"/>
          <w:szCs w:val="26"/>
        </w:rPr>
        <w:t>NORTHERN INSURANCE COMPANY</w:t>
      </w:r>
      <w:r w:rsidR="00D47571">
        <w:rPr>
          <w:rFonts w:ascii="Georgia" w:hAnsi="Georgia" w:cs="Georgia"/>
          <w:color w:val="252525"/>
          <w:sz w:val="26"/>
          <w:szCs w:val="26"/>
        </w:rPr>
        <w:t>.</w:t>
      </w:r>
      <w:r w:rsidR="009F7F23">
        <w:rPr>
          <w:rFonts w:ascii="Georgia" w:hAnsi="Georgia" w:cs="Georgia"/>
          <w:color w:val="252525"/>
          <w:sz w:val="26"/>
          <w:szCs w:val="26"/>
        </w:rPr>
        <w:t>, Defendant.</w:t>
      </w:r>
    </w:p>
    <w:p w14:paraId="61776013" w14:textId="77777777" w:rsidR="009F7F23" w:rsidRDefault="009F7F23">
      <w:pPr>
        <w:widowControl w:val="0"/>
        <w:autoSpaceDE w:val="0"/>
        <w:autoSpaceDN w:val="0"/>
        <w:adjustRightInd w:val="0"/>
        <w:spacing w:after="0" w:line="240" w:lineRule="auto"/>
        <w:jc w:val="center"/>
        <w:rPr>
          <w:rFonts w:ascii="Georgia" w:hAnsi="Georgia" w:cs="Georgia"/>
          <w:color w:val="000000"/>
          <w:sz w:val="26"/>
          <w:szCs w:val="26"/>
        </w:rPr>
      </w:pPr>
      <w:r>
        <w:rPr>
          <w:rFonts w:ascii="Georgia" w:hAnsi="Georgia" w:cs="Georgia"/>
          <w:color w:val="000000"/>
          <w:sz w:val="26"/>
          <w:szCs w:val="26"/>
        </w:rPr>
        <w:t>September 12, 2014.</w:t>
      </w:r>
    </w:p>
    <w:p w14:paraId="3BADA8B2" w14:textId="77777777" w:rsidR="009F7F23" w:rsidRDefault="009F7F23">
      <w:pPr>
        <w:widowControl w:val="0"/>
        <w:autoSpaceDE w:val="0"/>
        <w:autoSpaceDN w:val="0"/>
        <w:adjustRightInd w:val="0"/>
        <w:spacing w:before="520" w:after="520" w:line="240" w:lineRule="auto"/>
        <w:jc w:val="center"/>
        <w:rPr>
          <w:rFonts w:ascii="Times New Roman" w:hAnsi="Times New Roman"/>
          <w:b/>
          <w:bCs/>
          <w:color w:val="000000"/>
          <w:sz w:val="26"/>
          <w:szCs w:val="26"/>
        </w:rPr>
      </w:pPr>
      <w:r>
        <w:rPr>
          <w:rFonts w:ascii="Times New Roman" w:hAnsi="Times New Roman"/>
          <w:b/>
          <w:bCs/>
          <w:color w:val="000000"/>
          <w:sz w:val="26"/>
          <w:szCs w:val="26"/>
        </w:rPr>
        <w:t xml:space="preserve">Defendant </w:t>
      </w:r>
      <w:r w:rsidR="00D47571">
        <w:rPr>
          <w:rFonts w:ascii="Times New Roman" w:hAnsi="Times New Roman"/>
          <w:b/>
          <w:bCs/>
          <w:color w:val="000000"/>
          <w:sz w:val="26"/>
          <w:szCs w:val="26"/>
        </w:rPr>
        <w:t>Northern Insurance Company’s</w:t>
      </w:r>
      <w:r>
        <w:rPr>
          <w:rFonts w:ascii="Times New Roman" w:hAnsi="Times New Roman"/>
          <w:b/>
          <w:bCs/>
          <w:color w:val="000000"/>
          <w:sz w:val="26"/>
          <w:szCs w:val="26"/>
        </w:rPr>
        <w:t xml:space="preserve"> Memorandum of Law in Support of its Motion for Partial Summary Judgment</w:t>
      </w:r>
    </w:p>
    <w:p w14:paraId="102D9A45" w14:textId="77777777" w:rsidR="009F7F23" w:rsidRDefault="009F7F23">
      <w:pPr>
        <w:widowControl w:val="0"/>
        <w:autoSpaceDE w:val="0"/>
        <w:autoSpaceDN w:val="0"/>
        <w:adjustRightInd w:val="0"/>
        <w:spacing w:before="260" w:after="0" w:line="240" w:lineRule="auto"/>
        <w:jc w:val="both"/>
        <w:rPr>
          <w:rFonts w:ascii="Times New Roman" w:hAnsi="Times New Roman"/>
          <w:b/>
          <w:bCs/>
          <w:color w:val="000000"/>
          <w:sz w:val="26"/>
          <w:szCs w:val="26"/>
        </w:rPr>
      </w:pPr>
      <w:r>
        <w:rPr>
          <w:rFonts w:ascii="Times New Roman" w:hAnsi="Times New Roman"/>
          <w:b/>
          <w:bCs/>
          <w:color w:val="000000"/>
          <w:sz w:val="26"/>
          <w:szCs w:val="26"/>
        </w:rPr>
        <w:t>I. INTRODUCTION</w:t>
      </w:r>
    </w:p>
    <w:p w14:paraId="4084083B"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243C9DFF" w14:textId="77777777" w:rsidR="009F7F23" w:rsidRDefault="009F7F23">
      <w:pPr>
        <w:widowControl w:val="0"/>
        <w:autoSpaceDE w:val="0"/>
        <w:autoSpaceDN w:val="0"/>
        <w:adjustRightInd w:val="0"/>
        <w:spacing w:after="0" w:line="240" w:lineRule="auto"/>
        <w:jc w:val="both"/>
        <w:rPr>
          <w:rFonts w:ascii="Times New Roman" w:hAnsi="Times New Roman"/>
          <w:color w:val="000000"/>
          <w:sz w:val="20"/>
          <w:szCs w:val="20"/>
        </w:rPr>
      </w:pPr>
      <w:r>
        <w:rPr>
          <w:rFonts w:ascii="Times New Roman" w:hAnsi="Times New Roman"/>
          <w:color w:val="000000"/>
          <w:sz w:val="26"/>
          <w:szCs w:val="26"/>
        </w:rPr>
        <w:t xml:space="preserve">Defendant </w:t>
      </w:r>
      <w:r w:rsidR="00D47571">
        <w:rPr>
          <w:rFonts w:ascii="Times New Roman" w:hAnsi="Times New Roman"/>
          <w:color w:val="000000"/>
          <w:sz w:val="26"/>
          <w:szCs w:val="26"/>
        </w:rPr>
        <w:t>Northern Insurance Company</w:t>
      </w:r>
      <w:r>
        <w:rPr>
          <w:rFonts w:ascii="Times New Roman" w:hAnsi="Times New Roman"/>
          <w:color w:val="000000"/>
          <w:sz w:val="26"/>
          <w:szCs w:val="26"/>
        </w:rPr>
        <w:t xml:space="preserve"> (“</w:t>
      </w:r>
      <w:r w:rsidR="00D47571">
        <w:rPr>
          <w:rFonts w:ascii="Times New Roman" w:hAnsi="Times New Roman"/>
          <w:color w:val="000000"/>
          <w:sz w:val="26"/>
          <w:szCs w:val="26"/>
        </w:rPr>
        <w:t>Northern</w:t>
      </w:r>
      <w:r>
        <w:rPr>
          <w:rFonts w:ascii="Times New Roman" w:hAnsi="Times New Roman"/>
          <w:color w:val="000000"/>
          <w:sz w:val="26"/>
          <w:szCs w:val="26"/>
        </w:rPr>
        <w:t xml:space="preserve">”) asks the Court to decide whether an insurance policy that excludes loss caused by the peril of flood at a New Jersey warehouse bars coverage for damage that occurred at that warehouse during Storm Sandy. The damage occurred when water overflowed the banks of a nearby river and entered the warehouse. That event was plainly a “flood” within the plain and ordinary meaning of “flood.” Because the plain language of </w:t>
      </w:r>
      <w:proofErr w:type="spellStart"/>
      <w:r w:rsidR="00281DAB">
        <w:rPr>
          <w:rFonts w:ascii="Times New Roman" w:hAnsi="Times New Roman"/>
          <w:color w:val="000000"/>
          <w:sz w:val="26"/>
          <w:szCs w:val="26"/>
        </w:rPr>
        <w:t>Northern’s</w:t>
      </w:r>
      <w:proofErr w:type="spellEnd"/>
      <w:r>
        <w:rPr>
          <w:rFonts w:ascii="Times New Roman" w:hAnsi="Times New Roman"/>
          <w:color w:val="000000"/>
          <w:sz w:val="26"/>
          <w:szCs w:val="26"/>
        </w:rPr>
        <w:t xml:space="preserve"> policy states that flood is not a covered peril at the warehouse, plaintiff may not recover for flood-damaged goods at that warehouse. The Court therefore should grant </w:t>
      </w:r>
      <w:proofErr w:type="spellStart"/>
      <w:r w:rsidR="00281DAB">
        <w:rPr>
          <w:rFonts w:ascii="Times New Roman" w:hAnsi="Times New Roman"/>
          <w:color w:val="000000"/>
          <w:sz w:val="26"/>
          <w:szCs w:val="26"/>
        </w:rPr>
        <w:t>Northern’s</w:t>
      </w:r>
      <w:proofErr w:type="spellEnd"/>
      <w:r>
        <w:rPr>
          <w:rFonts w:ascii="Times New Roman" w:hAnsi="Times New Roman"/>
          <w:color w:val="000000"/>
          <w:sz w:val="26"/>
          <w:szCs w:val="26"/>
        </w:rPr>
        <w:t xml:space="preserve"> partial summary judgment that goods damaged solely by the overflow of river water into the warehouse (and not by rain water entering through the roof) are not covered.</w:t>
      </w:r>
      <w:bookmarkStart w:id="2" w:name="co_tablefootnote_1_1"/>
      <w:bookmarkEnd w:id="2"/>
      <w:r>
        <w:rPr>
          <w:rFonts w:ascii="Times New Roman" w:hAnsi="Times New Roman"/>
          <w:color w:val="000000"/>
          <w:sz w:val="20"/>
          <w:szCs w:val="20"/>
        </w:rPr>
        <w:fldChar w:fldCharType="begin"/>
      </w:r>
      <w:r>
        <w:rPr>
          <w:rFonts w:ascii="Times New Roman" w:hAnsi="Times New Roman"/>
          <w:color w:val="000000"/>
          <w:sz w:val="20"/>
          <w:szCs w:val="20"/>
        </w:rPr>
        <w:instrText xml:space="preserve">HYPERLINK "#co_tablefootnoteblock_1_1" </w:instrText>
      </w:r>
      <w:r>
        <w:rPr>
          <w:rFonts w:ascii="Times New Roman" w:hAnsi="Times New Roman"/>
          <w:color w:val="000000"/>
          <w:sz w:val="20"/>
          <w:szCs w:val="20"/>
        </w:rPr>
        <w:fldChar w:fldCharType="separate"/>
      </w:r>
      <w:r>
        <w:rPr>
          <w:rFonts w:ascii="Times New Roman" w:hAnsi="Times New Roman"/>
          <w:color w:val="0000FF"/>
          <w:sz w:val="20"/>
          <w:szCs w:val="20"/>
          <w:u w:val="single"/>
          <w:vertAlign w:val="superscript"/>
        </w:rPr>
        <w:t>1</w:t>
      </w:r>
      <w:r>
        <w:rPr>
          <w:rFonts w:ascii="Times New Roman" w:hAnsi="Times New Roman"/>
          <w:color w:val="000000"/>
          <w:sz w:val="20"/>
          <w:szCs w:val="20"/>
        </w:rPr>
        <w:fldChar w:fldCharType="end"/>
      </w:r>
    </w:p>
    <w:p w14:paraId="4485FBF4"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tbl>
      <w:tblPr>
        <w:tblW w:w="0" w:type="auto"/>
        <w:tblLayout w:type="fixed"/>
        <w:tblCellMar>
          <w:left w:w="0" w:type="dxa"/>
          <w:right w:w="0" w:type="dxa"/>
        </w:tblCellMar>
        <w:tblLook w:val="0000" w:firstRow="0" w:lastRow="0" w:firstColumn="0" w:lastColumn="0" w:noHBand="0" w:noVBand="0"/>
      </w:tblPr>
      <w:tblGrid>
        <w:gridCol w:w="600"/>
        <w:gridCol w:w="9480"/>
      </w:tblGrid>
      <w:tr w:rsidR="009F7F23" w14:paraId="25C029D0" w14:textId="77777777">
        <w:tc>
          <w:tcPr>
            <w:tcW w:w="600" w:type="dxa"/>
            <w:tcBorders>
              <w:top w:val="nil"/>
              <w:left w:val="nil"/>
              <w:bottom w:val="nil"/>
              <w:right w:val="nil"/>
            </w:tcBorders>
          </w:tcPr>
          <w:p w14:paraId="631FA1F2" w14:textId="77777777" w:rsidR="009F7F23" w:rsidRDefault="00F50855">
            <w:pPr>
              <w:widowControl w:val="0"/>
              <w:autoSpaceDE w:val="0"/>
              <w:autoSpaceDN w:val="0"/>
              <w:adjustRightInd w:val="0"/>
              <w:spacing w:after="0" w:line="240" w:lineRule="auto"/>
              <w:rPr>
                <w:rFonts w:ascii="Times New Roman" w:hAnsi="Times New Roman"/>
                <w:color w:val="000000"/>
                <w:sz w:val="26"/>
                <w:szCs w:val="26"/>
              </w:rPr>
            </w:pPr>
            <w:hyperlink w:anchor="co_tablefootnote_1_1" w:history="1">
              <w:r w:rsidR="009F7F23">
                <w:rPr>
                  <w:rFonts w:ascii="Times New Roman" w:hAnsi="Times New Roman"/>
                  <w:color w:val="0000FF"/>
                  <w:sz w:val="26"/>
                  <w:szCs w:val="26"/>
                  <w:u w:val="single"/>
                  <w:vertAlign w:val="superscript"/>
                </w:rPr>
                <w:t>1</w:t>
              </w:r>
            </w:hyperlink>
          </w:p>
          <w:p w14:paraId="4F94A6BE" w14:textId="77777777" w:rsidR="009F7F23" w:rsidRDefault="009F7F23">
            <w:pPr>
              <w:widowControl w:val="0"/>
              <w:autoSpaceDE w:val="0"/>
              <w:autoSpaceDN w:val="0"/>
              <w:adjustRightInd w:val="0"/>
              <w:spacing w:after="0" w:line="240" w:lineRule="auto"/>
              <w:rPr>
                <w:rFonts w:ascii="Times New Roman" w:hAnsi="Times New Roman"/>
                <w:color w:val="000000"/>
                <w:sz w:val="26"/>
                <w:szCs w:val="26"/>
              </w:rPr>
            </w:pPr>
          </w:p>
        </w:tc>
        <w:tc>
          <w:tcPr>
            <w:tcW w:w="9480" w:type="dxa"/>
            <w:tcBorders>
              <w:top w:val="nil"/>
              <w:left w:val="nil"/>
              <w:bottom w:val="nil"/>
              <w:right w:val="nil"/>
            </w:tcBorders>
            <w:tcMar>
              <w:top w:w="130" w:type="dxa"/>
              <w:bottom w:w="130" w:type="dxa"/>
            </w:tcMar>
          </w:tcPr>
          <w:p w14:paraId="14CD9B19"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The parties dispute the extent to which some inventory may have been damaged by rain water entering through an opening in the roof created by Storm Sandy’s winds. </w:t>
            </w:r>
            <w:r w:rsidR="00281DAB">
              <w:rPr>
                <w:rFonts w:ascii="Times New Roman" w:hAnsi="Times New Roman"/>
                <w:color w:val="000000"/>
                <w:sz w:val="26"/>
                <w:szCs w:val="26"/>
              </w:rPr>
              <w:t>Northern</w:t>
            </w:r>
            <w:r>
              <w:rPr>
                <w:rFonts w:ascii="Times New Roman" w:hAnsi="Times New Roman"/>
                <w:color w:val="000000"/>
                <w:sz w:val="26"/>
                <w:szCs w:val="26"/>
              </w:rPr>
              <w:t xml:space="preserve"> does not ask the Court to decide whether, or to what extent, the Policy covers items of inventory that were damaged by both rain water and river water.</w:t>
            </w:r>
          </w:p>
          <w:p w14:paraId="2EC3B9EB"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p>
        </w:tc>
      </w:tr>
    </w:tbl>
    <w:p w14:paraId="5810E84D"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p>
    <w:p w14:paraId="1BACC6B7" w14:textId="77777777" w:rsidR="009F7F23" w:rsidRDefault="009F7F23">
      <w:pPr>
        <w:widowControl w:val="0"/>
        <w:autoSpaceDE w:val="0"/>
        <w:autoSpaceDN w:val="0"/>
        <w:adjustRightInd w:val="0"/>
        <w:spacing w:before="520" w:after="260" w:line="240" w:lineRule="auto"/>
        <w:jc w:val="center"/>
        <w:rPr>
          <w:rFonts w:ascii="Times New Roman" w:hAnsi="Times New Roman"/>
          <w:b/>
          <w:bCs/>
          <w:color w:val="000000"/>
          <w:sz w:val="26"/>
          <w:szCs w:val="26"/>
        </w:rPr>
      </w:pPr>
      <w:r>
        <w:rPr>
          <w:rFonts w:ascii="Times New Roman" w:hAnsi="Times New Roman"/>
          <w:b/>
          <w:bCs/>
          <w:color w:val="000000"/>
          <w:sz w:val="26"/>
          <w:szCs w:val="26"/>
        </w:rPr>
        <w:t>II. STATEMENT OF FACTS</w:t>
      </w:r>
    </w:p>
    <w:p w14:paraId="4E500DCE"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Plaintiff is an importer of products such as fruits, edible seeds and shell nuts. (Declaration of Marvin H. </w:t>
      </w:r>
      <w:r w:rsidR="00281DAB">
        <w:rPr>
          <w:rFonts w:ascii="Times New Roman" w:hAnsi="Times New Roman"/>
          <w:color w:val="000000"/>
          <w:sz w:val="26"/>
          <w:szCs w:val="26"/>
        </w:rPr>
        <w:t>Roberts</w:t>
      </w:r>
      <w:r>
        <w:rPr>
          <w:rFonts w:ascii="Times New Roman" w:hAnsi="Times New Roman"/>
          <w:color w:val="000000"/>
          <w:sz w:val="26"/>
          <w:szCs w:val="26"/>
        </w:rPr>
        <w:t xml:space="preserve"> IV (“</w:t>
      </w:r>
      <w:r w:rsidR="00281DAB">
        <w:rPr>
          <w:rFonts w:ascii="Times New Roman" w:hAnsi="Times New Roman"/>
          <w:color w:val="000000"/>
          <w:sz w:val="26"/>
          <w:szCs w:val="26"/>
        </w:rPr>
        <w:t>Roberts</w:t>
      </w:r>
      <w:r>
        <w:rPr>
          <w:rFonts w:ascii="Times New Roman" w:hAnsi="Times New Roman"/>
          <w:color w:val="000000"/>
          <w:sz w:val="26"/>
          <w:szCs w:val="26"/>
        </w:rPr>
        <w:t xml:space="preserve"> Declaration,”) ¶ 4.) At the time of Storm Sandy, Plaintiff was storing inventory items at a </w:t>
      </w:r>
      <w:proofErr w:type="spellStart"/>
      <w:r>
        <w:rPr>
          <w:rFonts w:ascii="Times New Roman" w:hAnsi="Times New Roman"/>
          <w:color w:val="000000"/>
          <w:sz w:val="26"/>
          <w:szCs w:val="26"/>
        </w:rPr>
        <w:t>Refrig</w:t>
      </w:r>
      <w:proofErr w:type="spellEnd"/>
      <w:r>
        <w:rPr>
          <w:rFonts w:ascii="Times New Roman" w:hAnsi="Times New Roman"/>
          <w:color w:val="000000"/>
          <w:sz w:val="26"/>
          <w:szCs w:val="26"/>
        </w:rPr>
        <w:t>-It warehouse (the “Warehouse”) on Hackensack Avenue in South Kearny, New Jersey, just west of the Hackensack River. (Id., ¶ 4.) On October 29, 2012, during Storm Sandy, goods stored in the Warehouse suffered water damage from two sources: (1) rain entering through the roof of the warehouse; and (2) water that overflowed from the Hackensack River, driven by the tidal surge that occurred during Storm Sandy. (</w:t>
      </w:r>
      <w:r>
        <w:rPr>
          <w:rFonts w:ascii="Times New Roman" w:hAnsi="Times New Roman"/>
          <w:i/>
          <w:iCs/>
          <w:color w:val="000000"/>
          <w:sz w:val="26"/>
          <w:szCs w:val="26"/>
        </w:rPr>
        <w:t>Id.</w:t>
      </w:r>
      <w:r>
        <w:rPr>
          <w:rFonts w:ascii="Times New Roman" w:hAnsi="Times New Roman"/>
          <w:color w:val="000000"/>
          <w:sz w:val="26"/>
          <w:szCs w:val="26"/>
        </w:rPr>
        <w:t xml:space="preserve">, ¶ 6.) </w:t>
      </w:r>
      <w:r w:rsidR="00281DAB">
        <w:rPr>
          <w:rFonts w:ascii="Times New Roman" w:hAnsi="Times New Roman"/>
          <w:color w:val="000000"/>
          <w:sz w:val="26"/>
          <w:szCs w:val="26"/>
        </w:rPr>
        <w:t>Northern</w:t>
      </w:r>
      <w:r>
        <w:rPr>
          <w:rFonts w:ascii="Times New Roman" w:hAnsi="Times New Roman"/>
          <w:color w:val="000000"/>
          <w:sz w:val="26"/>
          <w:szCs w:val="26"/>
        </w:rPr>
        <w:t xml:space="preserve"> has paid plaintiff $887,729 for the portion of the Warehouse inventory that it determined was damaged by rain entering through the roof. (</w:t>
      </w:r>
      <w:r>
        <w:rPr>
          <w:rFonts w:ascii="Times New Roman" w:hAnsi="Times New Roman"/>
          <w:i/>
          <w:iCs/>
          <w:color w:val="000000"/>
          <w:sz w:val="26"/>
          <w:szCs w:val="26"/>
        </w:rPr>
        <w:t>Id.</w:t>
      </w:r>
      <w:r>
        <w:rPr>
          <w:rFonts w:ascii="Times New Roman" w:hAnsi="Times New Roman"/>
          <w:color w:val="000000"/>
          <w:sz w:val="26"/>
          <w:szCs w:val="26"/>
        </w:rPr>
        <w:t xml:space="preserve">, ¶ 9.) It has denied coverage for the portion of the </w:t>
      </w:r>
      <w:r>
        <w:rPr>
          <w:rFonts w:ascii="Times New Roman" w:hAnsi="Times New Roman"/>
          <w:color w:val="000000"/>
          <w:sz w:val="26"/>
          <w:szCs w:val="26"/>
        </w:rPr>
        <w:lastRenderedPageBreak/>
        <w:t>inventory that suffered damage from overflowing river water. (</w:t>
      </w:r>
      <w:r>
        <w:rPr>
          <w:rFonts w:ascii="Times New Roman" w:hAnsi="Times New Roman"/>
          <w:i/>
          <w:iCs/>
          <w:color w:val="000000"/>
          <w:sz w:val="26"/>
          <w:szCs w:val="26"/>
        </w:rPr>
        <w:t>Id.</w:t>
      </w:r>
      <w:r>
        <w:rPr>
          <w:rFonts w:ascii="Times New Roman" w:hAnsi="Times New Roman"/>
          <w:color w:val="000000"/>
          <w:sz w:val="26"/>
          <w:szCs w:val="26"/>
        </w:rPr>
        <w:t>, ¶ 10.)</w:t>
      </w:r>
    </w:p>
    <w:p w14:paraId="702E81EF"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433B8F75"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While plaintiff disputes </w:t>
      </w:r>
      <w:proofErr w:type="spellStart"/>
      <w:r w:rsidR="00281DAB">
        <w:rPr>
          <w:rFonts w:ascii="Times New Roman" w:hAnsi="Times New Roman"/>
          <w:color w:val="000000"/>
          <w:sz w:val="26"/>
          <w:szCs w:val="26"/>
        </w:rPr>
        <w:t>Northern’s</w:t>
      </w:r>
      <w:proofErr w:type="spellEnd"/>
      <w:r>
        <w:rPr>
          <w:rFonts w:ascii="Times New Roman" w:hAnsi="Times New Roman"/>
          <w:color w:val="000000"/>
          <w:sz w:val="26"/>
          <w:szCs w:val="26"/>
        </w:rPr>
        <w:t xml:space="preserve"> allocation of damages between what </w:t>
      </w:r>
      <w:r w:rsidR="00281DAB">
        <w:rPr>
          <w:rFonts w:ascii="Times New Roman" w:hAnsi="Times New Roman"/>
          <w:color w:val="000000"/>
          <w:sz w:val="26"/>
          <w:szCs w:val="26"/>
        </w:rPr>
        <w:t>Northern</w:t>
      </w:r>
      <w:r>
        <w:rPr>
          <w:rFonts w:ascii="Times New Roman" w:hAnsi="Times New Roman"/>
          <w:color w:val="000000"/>
          <w:sz w:val="26"/>
          <w:szCs w:val="26"/>
        </w:rPr>
        <w:t xml:space="preserve"> has covered (damage caused by rain that entered through the Warehouse roof) and what it contends is excluded (damage caused by the overflow of river water) that dispute is not at issue here. This motion deals solely with the interpretation of an insurance contract: whether the river overflow constituted a “flood” excluded under the Policy.</w:t>
      </w:r>
    </w:p>
    <w:p w14:paraId="5EFB490E"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692E77D9" w14:textId="77777777" w:rsidR="009F7F23" w:rsidRDefault="009F7F23">
      <w:pPr>
        <w:widowControl w:val="0"/>
        <w:autoSpaceDE w:val="0"/>
        <w:autoSpaceDN w:val="0"/>
        <w:adjustRightInd w:val="0"/>
        <w:spacing w:before="260" w:after="260" w:line="240" w:lineRule="auto"/>
        <w:jc w:val="center"/>
        <w:rPr>
          <w:rFonts w:ascii="Times New Roman" w:hAnsi="Times New Roman"/>
          <w:b/>
          <w:bCs/>
          <w:color w:val="000000"/>
          <w:sz w:val="26"/>
          <w:szCs w:val="26"/>
        </w:rPr>
      </w:pPr>
      <w:r>
        <w:rPr>
          <w:rFonts w:ascii="Times New Roman" w:hAnsi="Times New Roman"/>
          <w:b/>
          <w:bCs/>
          <w:color w:val="000000"/>
          <w:sz w:val="26"/>
          <w:szCs w:val="26"/>
        </w:rPr>
        <w:t xml:space="preserve">III. THE </w:t>
      </w:r>
      <w:r w:rsidR="00281DAB">
        <w:rPr>
          <w:rFonts w:ascii="Times New Roman" w:hAnsi="Times New Roman"/>
          <w:b/>
          <w:bCs/>
          <w:color w:val="000000"/>
          <w:sz w:val="26"/>
          <w:szCs w:val="26"/>
        </w:rPr>
        <w:t>NORTHERN</w:t>
      </w:r>
      <w:r>
        <w:rPr>
          <w:rFonts w:ascii="Times New Roman" w:hAnsi="Times New Roman"/>
          <w:b/>
          <w:bCs/>
          <w:color w:val="000000"/>
          <w:sz w:val="26"/>
          <w:szCs w:val="26"/>
        </w:rPr>
        <w:t xml:space="preserve"> POLICY</w:t>
      </w:r>
    </w:p>
    <w:p w14:paraId="36B8B0E6"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The </w:t>
      </w:r>
      <w:r w:rsidR="00281DAB">
        <w:rPr>
          <w:rFonts w:ascii="Times New Roman" w:hAnsi="Times New Roman"/>
          <w:color w:val="000000"/>
          <w:sz w:val="26"/>
          <w:szCs w:val="26"/>
        </w:rPr>
        <w:t>Northern</w:t>
      </w:r>
      <w:r>
        <w:rPr>
          <w:rFonts w:ascii="Times New Roman" w:hAnsi="Times New Roman"/>
          <w:color w:val="000000"/>
          <w:sz w:val="26"/>
          <w:szCs w:val="26"/>
        </w:rPr>
        <w:t xml:space="preserve"> Policy (“the Policy,” </w:t>
      </w:r>
      <w:r w:rsidR="00281DAB">
        <w:rPr>
          <w:rFonts w:ascii="Times New Roman" w:hAnsi="Times New Roman"/>
          <w:color w:val="000000"/>
          <w:sz w:val="26"/>
          <w:szCs w:val="26"/>
        </w:rPr>
        <w:t>Roberts</w:t>
      </w:r>
      <w:r>
        <w:rPr>
          <w:rFonts w:ascii="Times New Roman" w:hAnsi="Times New Roman"/>
          <w:color w:val="000000"/>
          <w:sz w:val="26"/>
          <w:szCs w:val="26"/>
        </w:rPr>
        <w:t xml:space="preserve"> Declaration, Exhibit A) contains two types of coverage relevant to this motion: (1) marine open cargo coverage, which, subject to its terms, conditions and exclusions, covers food products during the course of shipment; and (2) warehouse coverage, provided by a separate endorsement, which subject to its terms, conditions and exclusions, covers “goods temporarily stored in warehouses and/or other locations as hereinafter provided.” (</w:t>
      </w:r>
      <w:r w:rsidR="00281DAB">
        <w:rPr>
          <w:rFonts w:ascii="Times New Roman" w:hAnsi="Times New Roman"/>
          <w:color w:val="000000"/>
          <w:sz w:val="26"/>
          <w:szCs w:val="26"/>
        </w:rPr>
        <w:t>Roberts</w:t>
      </w:r>
      <w:r>
        <w:rPr>
          <w:rFonts w:ascii="Times New Roman" w:hAnsi="Times New Roman"/>
          <w:color w:val="000000"/>
          <w:sz w:val="26"/>
          <w:szCs w:val="26"/>
        </w:rPr>
        <w:t xml:space="preserve"> Declaration, Exhibit B, ¶ 1; Exhibit C, ¶¶ 3, 19.) The Marine Open Cargo Coverage form, under ¶ 19, “Warehouse to Warehouse Clause,” provides that its coverage attaches “from the time the goods leave the warehouse…until delivered to final warehouse....” (</w:t>
      </w:r>
      <w:r>
        <w:rPr>
          <w:rFonts w:ascii="Times New Roman" w:hAnsi="Times New Roman"/>
          <w:i/>
          <w:iCs/>
          <w:color w:val="000000"/>
          <w:sz w:val="26"/>
          <w:szCs w:val="26"/>
        </w:rPr>
        <w:t>Id.</w:t>
      </w:r>
      <w:r>
        <w:rPr>
          <w:rFonts w:ascii="Times New Roman" w:hAnsi="Times New Roman"/>
          <w:color w:val="000000"/>
          <w:sz w:val="26"/>
          <w:szCs w:val="26"/>
        </w:rPr>
        <w:t>, Exhibit C, ¶ 19.)</w:t>
      </w:r>
      <w:bookmarkStart w:id="3" w:name="co_tablefootnote_2_1"/>
      <w:bookmarkEnd w:id="3"/>
      <w:r>
        <w:rPr>
          <w:rFonts w:ascii="Times New Roman" w:hAnsi="Times New Roman"/>
          <w:color w:val="000000"/>
          <w:sz w:val="20"/>
          <w:szCs w:val="20"/>
        </w:rPr>
        <w:fldChar w:fldCharType="begin"/>
      </w:r>
      <w:r>
        <w:rPr>
          <w:rFonts w:ascii="Times New Roman" w:hAnsi="Times New Roman"/>
          <w:color w:val="000000"/>
          <w:sz w:val="20"/>
          <w:szCs w:val="20"/>
        </w:rPr>
        <w:instrText xml:space="preserve">HYPERLINK "#co_tablefootnoteblock_2_1" </w:instrText>
      </w:r>
      <w:r>
        <w:rPr>
          <w:rFonts w:ascii="Times New Roman" w:hAnsi="Times New Roman"/>
          <w:color w:val="000000"/>
          <w:sz w:val="20"/>
          <w:szCs w:val="20"/>
        </w:rPr>
        <w:fldChar w:fldCharType="separate"/>
      </w:r>
      <w:r>
        <w:rPr>
          <w:rFonts w:ascii="Times New Roman" w:hAnsi="Times New Roman"/>
          <w:color w:val="0000FF"/>
          <w:sz w:val="20"/>
          <w:szCs w:val="20"/>
          <w:u w:val="single"/>
          <w:vertAlign w:val="superscript"/>
        </w:rPr>
        <w:t>2</w:t>
      </w:r>
      <w:r>
        <w:rPr>
          <w:rFonts w:ascii="Times New Roman" w:hAnsi="Times New Roman"/>
          <w:color w:val="000000"/>
          <w:sz w:val="20"/>
          <w:szCs w:val="20"/>
        </w:rPr>
        <w:fldChar w:fldCharType="end"/>
      </w:r>
      <w:r>
        <w:rPr>
          <w:rFonts w:ascii="Times New Roman" w:hAnsi="Times New Roman"/>
          <w:color w:val="000000"/>
          <w:sz w:val="26"/>
          <w:szCs w:val="26"/>
        </w:rPr>
        <w:t xml:space="preserve"> The Warehouse Coverage is a separate endorsement, No. 16, with its own set of terms and conditions, and covers “goods temporarily stored in warehouses and/or other locations....” (</w:t>
      </w:r>
      <w:r>
        <w:rPr>
          <w:rFonts w:ascii="Times New Roman" w:hAnsi="Times New Roman"/>
          <w:i/>
          <w:iCs/>
          <w:color w:val="000000"/>
          <w:sz w:val="26"/>
          <w:szCs w:val="26"/>
        </w:rPr>
        <w:t>Id.</w:t>
      </w:r>
      <w:r>
        <w:rPr>
          <w:rFonts w:ascii="Times New Roman" w:hAnsi="Times New Roman"/>
          <w:color w:val="000000"/>
          <w:sz w:val="26"/>
          <w:szCs w:val="26"/>
        </w:rPr>
        <w:t>, Exhibit B, ¶ 1.) Because the plaintiff’s only claimed loss is for goods temporarily stored at the Warehouse, the Warehouse Coverage is the coverage relevant to this case. Although the Marine Cargo coverage is part of the same Policy, the coverage it provides – for goods in transit – is inapplicable where the goods, as here, suffered damage while in storage.</w:t>
      </w:r>
    </w:p>
    <w:p w14:paraId="66674510"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tbl>
      <w:tblPr>
        <w:tblW w:w="0" w:type="auto"/>
        <w:tblLayout w:type="fixed"/>
        <w:tblCellMar>
          <w:left w:w="0" w:type="dxa"/>
          <w:right w:w="0" w:type="dxa"/>
        </w:tblCellMar>
        <w:tblLook w:val="0000" w:firstRow="0" w:lastRow="0" w:firstColumn="0" w:lastColumn="0" w:noHBand="0" w:noVBand="0"/>
      </w:tblPr>
      <w:tblGrid>
        <w:gridCol w:w="600"/>
        <w:gridCol w:w="9480"/>
      </w:tblGrid>
      <w:tr w:rsidR="009F7F23" w14:paraId="723279EC" w14:textId="77777777">
        <w:tc>
          <w:tcPr>
            <w:tcW w:w="600" w:type="dxa"/>
            <w:tcBorders>
              <w:top w:val="nil"/>
              <w:left w:val="nil"/>
              <w:bottom w:val="nil"/>
              <w:right w:val="nil"/>
            </w:tcBorders>
          </w:tcPr>
          <w:p w14:paraId="22D16B07" w14:textId="77777777" w:rsidR="009F7F23" w:rsidRDefault="00F50855">
            <w:pPr>
              <w:widowControl w:val="0"/>
              <w:autoSpaceDE w:val="0"/>
              <w:autoSpaceDN w:val="0"/>
              <w:adjustRightInd w:val="0"/>
              <w:spacing w:after="0" w:line="240" w:lineRule="auto"/>
              <w:rPr>
                <w:rFonts w:ascii="Times New Roman" w:hAnsi="Times New Roman"/>
                <w:color w:val="000000"/>
                <w:sz w:val="26"/>
                <w:szCs w:val="26"/>
              </w:rPr>
            </w:pPr>
            <w:hyperlink w:anchor="co_tablefootnote_2_1" w:history="1">
              <w:r w:rsidR="009F7F23">
                <w:rPr>
                  <w:rFonts w:ascii="Times New Roman" w:hAnsi="Times New Roman"/>
                  <w:color w:val="0000FF"/>
                  <w:sz w:val="26"/>
                  <w:szCs w:val="26"/>
                  <w:u w:val="single"/>
                  <w:vertAlign w:val="superscript"/>
                </w:rPr>
                <w:t>2</w:t>
              </w:r>
            </w:hyperlink>
          </w:p>
          <w:p w14:paraId="5703BAD1" w14:textId="77777777" w:rsidR="009F7F23" w:rsidRDefault="009F7F23">
            <w:pPr>
              <w:widowControl w:val="0"/>
              <w:autoSpaceDE w:val="0"/>
              <w:autoSpaceDN w:val="0"/>
              <w:adjustRightInd w:val="0"/>
              <w:spacing w:after="0" w:line="240" w:lineRule="auto"/>
              <w:rPr>
                <w:rFonts w:ascii="Times New Roman" w:hAnsi="Times New Roman"/>
                <w:color w:val="000000"/>
                <w:sz w:val="26"/>
                <w:szCs w:val="26"/>
              </w:rPr>
            </w:pPr>
          </w:p>
        </w:tc>
        <w:tc>
          <w:tcPr>
            <w:tcW w:w="9480" w:type="dxa"/>
            <w:tcBorders>
              <w:top w:val="nil"/>
              <w:left w:val="nil"/>
              <w:bottom w:val="nil"/>
              <w:right w:val="nil"/>
            </w:tcBorders>
            <w:tcMar>
              <w:top w:w="130" w:type="dxa"/>
              <w:bottom w:w="130" w:type="dxa"/>
            </w:tcMar>
          </w:tcPr>
          <w:p w14:paraId="4522C482"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For the Court’s convenience, </w:t>
            </w:r>
            <w:r w:rsidR="00281DAB">
              <w:rPr>
                <w:rFonts w:ascii="Times New Roman" w:hAnsi="Times New Roman"/>
                <w:color w:val="000000"/>
                <w:sz w:val="26"/>
                <w:szCs w:val="26"/>
              </w:rPr>
              <w:t>Northern</w:t>
            </w:r>
            <w:r>
              <w:rPr>
                <w:rFonts w:ascii="Times New Roman" w:hAnsi="Times New Roman"/>
                <w:color w:val="000000"/>
                <w:sz w:val="26"/>
                <w:szCs w:val="26"/>
              </w:rPr>
              <w:t xml:space="preserve"> has attached the entire policy as Exhibit A to its motion, but has broken out as Exhibit B the Warehouse Coverage, and as Exhibit C the Marine Open Cargo Coverage.</w:t>
            </w:r>
          </w:p>
          <w:p w14:paraId="61D98E3C"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p>
        </w:tc>
      </w:tr>
    </w:tbl>
    <w:p w14:paraId="157C42AE"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p>
    <w:p w14:paraId="5B16CF12"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The Warehouse Coverage incorporates the grant of open peril coverage contained in Paragraph 7A of the Marine Open Cargo Coverage Form (</w:t>
      </w:r>
      <w:r>
        <w:rPr>
          <w:rFonts w:ascii="Times New Roman" w:hAnsi="Times New Roman"/>
          <w:i/>
          <w:iCs/>
          <w:color w:val="000000"/>
          <w:sz w:val="26"/>
          <w:szCs w:val="26"/>
        </w:rPr>
        <w:t>Id.</w:t>
      </w:r>
      <w:r>
        <w:rPr>
          <w:rFonts w:ascii="Times New Roman" w:hAnsi="Times New Roman"/>
          <w:color w:val="000000"/>
          <w:sz w:val="26"/>
          <w:szCs w:val="26"/>
        </w:rPr>
        <w:t>, Exhibit B, ¶ 2) but includes its own schedule of locations, each with a separate limit of liability. (</w:t>
      </w:r>
      <w:r>
        <w:rPr>
          <w:rFonts w:ascii="Times New Roman" w:hAnsi="Times New Roman"/>
          <w:i/>
          <w:iCs/>
          <w:color w:val="000000"/>
          <w:sz w:val="26"/>
          <w:szCs w:val="26"/>
        </w:rPr>
        <w:t>Id.</w:t>
      </w:r>
      <w:r>
        <w:rPr>
          <w:rFonts w:ascii="Times New Roman" w:hAnsi="Times New Roman"/>
          <w:color w:val="000000"/>
          <w:sz w:val="26"/>
          <w:szCs w:val="26"/>
        </w:rPr>
        <w:t>, p. 2.) The Warehouse Coverage contains conditions and exclusions that apply to all locations, and two exclusions that are location-specific: an earthquake exclusion at a warehouse in Los Angeles, California, and a flood exclusion at the Warehouse at issue in this case. (</w:t>
      </w:r>
      <w:r>
        <w:rPr>
          <w:rFonts w:ascii="Times New Roman" w:hAnsi="Times New Roman"/>
          <w:i/>
          <w:iCs/>
          <w:color w:val="000000"/>
          <w:sz w:val="26"/>
          <w:szCs w:val="26"/>
        </w:rPr>
        <w:t>Id.</w:t>
      </w:r>
      <w:r>
        <w:rPr>
          <w:rFonts w:ascii="Times New Roman" w:hAnsi="Times New Roman"/>
          <w:color w:val="000000"/>
          <w:sz w:val="26"/>
          <w:szCs w:val="26"/>
        </w:rPr>
        <w:t xml:space="preserve">, p. 2.) The obvious reason for those two location-specific exclusions is that </w:t>
      </w:r>
      <w:r w:rsidR="00281DAB">
        <w:rPr>
          <w:rFonts w:ascii="Times New Roman" w:hAnsi="Times New Roman"/>
          <w:color w:val="000000"/>
          <w:sz w:val="26"/>
          <w:szCs w:val="26"/>
        </w:rPr>
        <w:t>Northern</w:t>
      </w:r>
      <w:r>
        <w:rPr>
          <w:rFonts w:ascii="Times New Roman" w:hAnsi="Times New Roman"/>
          <w:color w:val="000000"/>
          <w:sz w:val="26"/>
          <w:szCs w:val="26"/>
        </w:rPr>
        <w:t xml:space="preserve"> was unwilling to cover the higher risk of an earthquake in Los Angeles, or the higher risk of a flood occurring within 25 feet of the Hackensack River in coastal New Jersey, for the premium charged.</w:t>
      </w:r>
    </w:p>
    <w:p w14:paraId="1512D8C8"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0F133212"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The flood exclusion reads as follows:</w:t>
      </w:r>
    </w:p>
    <w:p w14:paraId="6E74A5F7"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It is further understood and agreed that the peril of Flood is excluded for the following location:</w:t>
      </w:r>
    </w:p>
    <w:p w14:paraId="0C0FF53C"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5B3FC60D"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proofErr w:type="spellStart"/>
      <w:r>
        <w:rPr>
          <w:rFonts w:ascii="Times New Roman" w:hAnsi="Times New Roman"/>
          <w:color w:val="000000"/>
          <w:sz w:val="26"/>
          <w:szCs w:val="26"/>
        </w:rPr>
        <w:t>Refrig</w:t>
      </w:r>
      <w:proofErr w:type="spellEnd"/>
      <w:r>
        <w:rPr>
          <w:rFonts w:ascii="Times New Roman" w:hAnsi="Times New Roman"/>
          <w:color w:val="000000"/>
          <w:sz w:val="26"/>
          <w:szCs w:val="26"/>
        </w:rPr>
        <w:t>-It Warehouse</w:t>
      </w:r>
    </w:p>
    <w:p w14:paraId="389DD6F6"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lastRenderedPageBreak/>
        <w:t> </w:t>
      </w:r>
    </w:p>
    <w:p w14:paraId="1A4C66F9"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Building #8</w:t>
      </w:r>
    </w:p>
    <w:p w14:paraId="00171C80"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11AD1D44"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Hackensack Avenue</w:t>
      </w:r>
    </w:p>
    <w:p w14:paraId="3948671D"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29A88784"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S. Kearney, New Jersey 07032</w:t>
      </w:r>
    </w:p>
    <w:p w14:paraId="41639B42"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254817AF"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59C14CD8"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w:t>
      </w:r>
      <w:r>
        <w:rPr>
          <w:rFonts w:ascii="Times New Roman" w:hAnsi="Times New Roman"/>
          <w:i/>
          <w:iCs/>
          <w:color w:val="000000"/>
          <w:sz w:val="26"/>
          <w:szCs w:val="26"/>
        </w:rPr>
        <w:t>Id.</w:t>
      </w:r>
      <w:r>
        <w:rPr>
          <w:rFonts w:ascii="Times New Roman" w:hAnsi="Times New Roman"/>
          <w:color w:val="000000"/>
          <w:sz w:val="26"/>
          <w:szCs w:val="26"/>
        </w:rPr>
        <w:t xml:space="preserve"> at p. 2.)</w:t>
      </w:r>
    </w:p>
    <w:p w14:paraId="67ADE41E"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15153116" w14:textId="77777777" w:rsidR="009F7F23" w:rsidRDefault="009F7F23">
      <w:pPr>
        <w:widowControl w:val="0"/>
        <w:autoSpaceDE w:val="0"/>
        <w:autoSpaceDN w:val="0"/>
        <w:adjustRightInd w:val="0"/>
        <w:spacing w:before="520" w:after="260" w:line="240" w:lineRule="auto"/>
        <w:jc w:val="center"/>
        <w:rPr>
          <w:rFonts w:ascii="Times New Roman" w:hAnsi="Times New Roman"/>
          <w:b/>
          <w:bCs/>
          <w:color w:val="000000"/>
          <w:sz w:val="26"/>
          <w:szCs w:val="26"/>
        </w:rPr>
      </w:pPr>
      <w:r>
        <w:rPr>
          <w:rFonts w:ascii="Times New Roman" w:hAnsi="Times New Roman"/>
          <w:b/>
          <w:bCs/>
          <w:color w:val="000000"/>
          <w:sz w:val="26"/>
          <w:szCs w:val="26"/>
        </w:rPr>
        <w:t>IV. ARGUMENT</w:t>
      </w:r>
    </w:p>
    <w:p w14:paraId="3EAD6E12"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1E64720C" w14:textId="1CFB5AE7" w:rsidR="009F7F23" w:rsidRDefault="00F50855">
      <w:pPr>
        <w:widowControl w:val="0"/>
        <w:autoSpaceDE w:val="0"/>
        <w:autoSpaceDN w:val="0"/>
        <w:adjustRightInd w:val="0"/>
        <w:spacing w:before="260" w:after="260" w:line="240" w:lineRule="auto"/>
        <w:jc w:val="center"/>
        <w:rPr>
          <w:rFonts w:ascii="Times New Roman" w:hAnsi="Times New Roman"/>
          <w:b/>
          <w:bCs/>
          <w:color w:val="000000"/>
          <w:sz w:val="26"/>
          <w:szCs w:val="26"/>
        </w:rPr>
      </w:pPr>
      <w:r>
        <w:rPr>
          <w:rFonts w:ascii="Times New Roman" w:hAnsi="Times New Roman"/>
          <w:b/>
          <w:bCs/>
          <w:color w:val="000000"/>
          <w:sz w:val="26"/>
          <w:szCs w:val="26"/>
        </w:rPr>
        <w:t>A</w:t>
      </w:r>
      <w:r w:rsidR="009F7F23">
        <w:rPr>
          <w:rFonts w:ascii="Times New Roman" w:hAnsi="Times New Roman"/>
          <w:b/>
          <w:bCs/>
          <w:color w:val="000000"/>
          <w:sz w:val="26"/>
          <w:szCs w:val="26"/>
        </w:rPr>
        <w:t>. The Loss At Issue Was a “Flood” Under New Jersey Law and Under Any Reasonable Understanding of The Meaning Of “Flood”</w:t>
      </w:r>
    </w:p>
    <w:p w14:paraId="0E77F11B" w14:textId="5A1B2F90"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New Jersey courts apply well-recognized principles in interpreting insurance contracts. One is that where an insurance contract is unambiguous, the court should interpret it as written. Courts should not search for ambiguity when policy language is clear. “Insurance policies are construed in accordance with principles that govern the interpretation of contracts; the parties’ agreement will be enforced as written when its terms are clear in order that the expectations of the parties will be fulfilled.” </w:t>
      </w:r>
      <w:hyperlink r:id="rId10" w:anchor="co_pp_sp_583_525" w:history="1">
        <w:r>
          <w:rPr>
            <w:rFonts w:ascii="Times New Roman" w:hAnsi="Times New Roman"/>
            <w:i/>
            <w:iCs/>
            <w:color w:val="0000FF"/>
            <w:sz w:val="26"/>
            <w:szCs w:val="26"/>
            <w:u w:val="single"/>
          </w:rPr>
          <w:t>Memorial Properties, LLC v. Zurich American Ins. Co.</w:t>
        </w:r>
        <w:r>
          <w:rPr>
            <w:rFonts w:ascii="Times New Roman" w:hAnsi="Times New Roman"/>
            <w:color w:val="0000FF"/>
            <w:sz w:val="26"/>
            <w:szCs w:val="26"/>
            <w:u w:val="single"/>
          </w:rPr>
          <w:t>, 210 N.J. 512, 525 (2012)</w:t>
        </w:r>
      </w:hyperlink>
      <w:r>
        <w:rPr>
          <w:rFonts w:ascii="Times New Roman" w:hAnsi="Times New Roman"/>
          <w:color w:val="000000"/>
          <w:sz w:val="26"/>
          <w:szCs w:val="26"/>
        </w:rPr>
        <w:t xml:space="preserve"> (citations omitted); </w:t>
      </w:r>
      <w:hyperlink r:id="rId11" w:history="1">
        <w:r>
          <w:rPr>
            <w:rFonts w:ascii="Times New Roman" w:hAnsi="Times New Roman"/>
            <w:i/>
            <w:iCs/>
            <w:color w:val="0000FF"/>
            <w:sz w:val="26"/>
            <w:szCs w:val="26"/>
            <w:u w:val="single"/>
          </w:rPr>
          <w:t>PNY Technologies, Inc. v. Twin City Fire Ins. Co</w:t>
        </w:r>
        <w:r>
          <w:rPr>
            <w:rFonts w:ascii="Times New Roman" w:hAnsi="Times New Roman"/>
            <w:color w:val="0000FF"/>
            <w:sz w:val="26"/>
            <w:szCs w:val="26"/>
            <w:u w:val="single"/>
          </w:rPr>
          <w:t>, 2014 WL 3519074 (D.N.J. July 16, 2014.)</w:t>
        </w:r>
      </w:hyperlink>
      <w:r>
        <w:rPr>
          <w:rFonts w:ascii="Times New Roman" w:hAnsi="Times New Roman"/>
          <w:color w:val="000000"/>
          <w:sz w:val="26"/>
          <w:szCs w:val="26"/>
        </w:rPr>
        <w:t xml:space="preserve"> “If the policy terms are clear, courts should interpret the policy as written and avoid writing a better insurance policy than the one purchased.” </w:t>
      </w:r>
      <w:hyperlink r:id="rId12" w:history="1">
        <w:r>
          <w:rPr>
            <w:rFonts w:ascii="Times New Roman" w:hAnsi="Times New Roman"/>
            <w:i/>
            <w:iCs/>
            <w:color w:val="0000FF"/>
            <w:sz w:val="26"/>
            <w:szCs w:val="26"/>
            <w:u w:val="single"/>
          </w:rPr>
          <w:t>President v. Jenkins</w:t>
        </w:r>
        <w:r>
          <w:rPr>
            <w:rFonts w:ascii="Times New Roman" w:hAnsi="Times New Roman"/>
            <w:color w:val="0000FF"/>
            <w:sz w:val="26"/>
            <w:szCs w:val="26"/>
            <w:u w:val="single"/>
          </w:rPr>
          <w:t>, 180 N.J. 550, 562, 853 A.2d 247 (2004)</w:t>
        </w:r>
      </w:hyperlink>
      <w:r>
        <w:rPr>
          <w:rFonts w:ascii="Times New Roman" w:hAnsi="Times New Roman"/>
          <w:color w:val="000000"/>
          <w:sz w:val="26"/>
          <w:szCs w:val="26"/>
        </w:rPr>
        <w:t xml:space="preserve"> (quoting </w:t>
      </w:r>
      <w:hyperlink r:id="rId13" w:history="1">
        <w:r>
          <w:rPr>
            <w:rFonts w:ascii="Times New Roman" w:hAnsi="Times New Roman"/>
            <w:i/>
            <w:iCs/>
            <w:color w:val="0000FF"/>
            <w:sz w:val="26"/>
            <w:szCs w:val="26"/>
            <w:u w:val="single"/>
          </w:rPr>
          <w:t>Zacarias v. Allstate Ins. Co.</w:t>
        </w:r>
        <w:r>
          <w:rPr>
            <w:rFonts w:ascii="Times New Roman" w:hAnsi="Times New Roman"/>
            <w:color w:val="0000FF"/>
            <w:sz w:val="26"/>
            <w:szCs w:val="26"/>
            <w:u w:val="single"/>
          </w:rPr>
          <w:t>, 168 N.J. 590, 595, 775 A.2d 1262 (2001)</w:t>
        </w:r>
      </w:hyperlink>
      <w:r>
        <w:rPr>
          <w:rFonts w:ascii="Times New Roman" w:hAnsi="Times New Roman"/>
          <w:color w:val="000000"/>
          <w:sz w:val="26"/>
          <w:szCs w:val="26"/>
        </w:rPr>
        <w:t xml:space="preserve">). Clear policy exclusions “are presumptively valid and will be given effect if ‘specific, plain, clear, prominent, and not contrary to public policy.’ </w:t>
      </w:r>
      <w:hyperlink r:id="rId14" w:history="1">
        <w:proofErr w:type="spellStart"/>
        <w:r>
          <w:rPr>
            <w:rFonts w:ascii="Times New Roman" w:hAnsi="Times New Roman"/>
            <w:i/>
            <w:iCs/>
            <w:color w:val="0000FF"/>
            <w:sz w:val="26"/>
            <w:szCs w:val="26"/>
            <w:u w:val="single"/>
          </w:rPr>
          <w:t>Doto</w:t>
        </w:r>
        <w:proofErr w:type="spellEnd"/>
        <w:r>
          <w:rPr>
            <w:rFonts w:ascii="Times New Roman" w:hAnsi="Times New Roman"/>
            <w:i/>
            <w:iCs/>
            <w:color w:val="0000FF"/>
            <w:sz w:val="26"/>
            <w:szCs w:val="26"/>
            <w:u w:val="single"/>
          </w:rPr>
          <w:t xml:space="preserve"> v. Russo</w:t>
        </w:r>
        <w:r>
          <w:rPr>
            <w:rFonts w:ascii="Times New Roman" w:hAnsi="Times New Roman"/>
            <w:color w:val="0000FF"/>
            <w:sz w:val="26"/>
            <w:szCs w:val="26"/>
            <w:u w:val="single"/>
          </w:rPr>
          <w:t>, 140 N.J. 544, 559, 659 A.2d 1371 (1995)</w:t>
        </w:r>
      </w:hyperlink>
      <w:r>
        <w:rPr>
          <w:rFonts w:ascii="Times New Roman" w:hAnsi="Times New Roman"/>
          <w:color w:val="000000"/>
          <w:sz w:val="26"/>
          <w:szCs w:val="26"/>
        </w:rPr>
        <w:t>.</w:t>
      </w:r>
    </w:p>
    <w:p w14:paraId="2A695BDF"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26F6434B"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The Policy’s Warehouse Coverage excludes flood. The word “flood” must be “accorded [its] ordinary meaning.” </w:t>
      </w:r>
      <w:hyperlink r:id="rId15" w:anchor="co_pp_sp_162_807" w:history="1">
        <w:r>
          <w:rPr>
            <w:rFonts w:ascii="Times New Roman" w:hAnsi="Times New Roman"/>
            <w:i/>
            <w:iCs/>
            <w:color w:val="0000FF"/>
            <w:sz w:val="26"/>
            <w:szCs w:val="26"/>
            <w:u w:val="single"/>
          </w:rPr>
          <w:t>Homesite Ins. Co. v. Hindman</w:t>
        </w:r>
        <w:r>
          <w:rPr>
            <w:rFonts w:ascii="Times New Roman" w:hAnsi="Times New Roman"/>
            <w:color w:val="0000FF"/>
            <w:sz w:val="26"/>
            <w:szCs w:val="26"/>
            <w:u w:val="single"/>
          </w:rPr>
          <w:t>, 992 A.2d 804, 807 (N.J. App. Div. 2010.)</w:t>
        </w:r>
      </w:hyperlink>
      <w:r>
        <w:rPr>
          <w:rFonts w:ascii="Times New Roman" w:hAnsi="Times New Roman"/>
          <w:color w:val="000000"/>
          <w:sz w:val="26"/>
          <w:szCs w:val="26"/>
        </w:rPr>
        <w:t xml:space="preserve"> There should be no serious dispute that when the Hackensack River overflowed its banks and inundated the </w:t>
      </w:r>
      <w:proofErr w:type="spellStart"/>
      <w:r>
        <w:rPr>
          <w:rFonts w:ascii="Times New Roman" w:hAnsi="Times New Roman"/>
          <w:color w:val="000000"/>
          <w:sz w:val="26"/>
          <w:szCs w:val="26"/>
        </w:rPr>
        <w:t>Refrig</w:t>
      </w:r>
      <w:proofErr w:type="spellEnd"/>
      <w:r>
        <w:rPr>
          <w:rFonts w:ascii="Times New Roman" w:hAnsi="Times New Roman"/>
          <w:color w:val="000000"/>
          <w:sz w:val="26"/>
          <w:szCs w:val="26"/>
        </w:rPr>
        <w:t xml:space="preserve">-It Warehouse, the loss suffered was a flood. “[T]he entire English speaking world recognizes that a flood is the overflow of a body of water causing a large amount of water to cover an area that is usually dry land.” </w:t>
      </w:r>
      <w:hyperlink r:id="rId16" w:anchor="co_pp_sp_735_194" w:history="1">
        <w:r>
          <w:rPr>
            <w:rFonts w:ascii="Times New Roman" w:hAnsi="Times New Roman"/>
            <w:i/>
            <w:iCs/>
            <w:color w:val="0000FF"/>
            <w:sz w:val="26"/>
            <w:szCs w:val="26"/>
            <w:u w:val="single"/>
          </w:rPr>
          <w:t>Sher v. Lafayette Ins. Co.</w:t>
        </w:r>
        <w:r>
          <w:rPr>
            <w:rFonts w:ascii="Times New Roman" w:hAnsi="Times New Roman"/>
            <w:color w:val="0000FF"/>
            <w:sz w:val="26"/>
            <w:szCs w:val="26"/>
            <w:u w:val="single"/>
          </w:rPr>
          <w:t>, 988 So. 2d 186, 194 (La. 2008)</w:t>
        </w:r>
      </w:hyperlink>
      <w:r>
        <w:rPr>
          <w:rFonts w:ascii="Times New Roman" w:hAnsi="Times New Roman"/>
          <w:color w:val="000000"/>
          <w:sz w:val="26"/>
          <w:szCs w:val="26"/>
        </w:rPr>
        <w:t xml:space="preserve">; </w:t>
      </w:r>
      <w:r>
        <w:rPr>
          <w:rFonts w:ascii="Times New Roman" w:hAnsi="Times New Roman"/>
          <w:i/>
          <w:iCs/>
          <w:color w:val="000000"/>
          <w:sz w:val="26"/>
          <w:szCs w:val="26"/>
        </w:rPr>
        <w:t xml:space="preserve">accord </w:t>
      </w:r>
      <w:hyperlink r:id="rId17" w:anchor="co_pp_sp_506_214" w:history="1">
        <w:r>
          <w:rPr>
            <w:rFonts w:ascii="Times New Roman" w:hAnsi="Times New Roman"/>
            <w:i/>
            <w:iCs/>
            <w:color w:val="0000FF"/>
            <w:sz w:val="26"/>
            <w:szCs w:val="26"/>
            <w:u w:val="single"/>
          </w:rPr>
          <w:t>In re Katrina Canal Breaches Litig.</w:t>
        </w:r>
        <w:r>
          <w:rPr>
            <w:rFonts w:ascii="Times New Roman" w:hAnsi="Times New Roman"/>
            <w:color w:val="0000FF"/>
            <w:sz w:val="26"/>
            <w:szCs w:val="26"/>
            <w:u w:val="single"/>
          </w:rPr>
          <w:t>, 495 F.3d 191, 214 (5th Cir. 2007)</w:t>
        </w:r>
      </w:hyperlink>
      <w:r>
        <w:rPr>
          <w:rFonts w:ascii="Times New Roman" w:hAnsi="Times New Roman"/>
          <w:color w:val="000000"/>
          <w:sz w:val="26"/>
          <w:szCs w:val="26"/>
        </w:rPr>
        <w:t xml:space="preserve"> (“When a body of water overflows its normal boundaries and inundates an area of land that is normally dry, the event is a flood.”)</w:t>
      </w:r>
    </w:p>
    <w:p w14:paraId="50806073"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6800EB33"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Plaintiff has characterized its loss as caused by “Hurricane Sandy.” (Complaint, ¶ 19.) In the course of its claim it has argued that the “efficient proximate cause” of its entire loss was a hurricane—Storm Sandy—and that the Warehouse Coverage does not exclude losses caused by </w:t>
      </w:r>
      <w:r>
        <w:rPr>
          <w:rFonts w:ascii="Times New Roman" w:hAnsi="Times New Roman"/>
          <w:color w:val="000000"/>
          <w:sz w:val="26"/>
          <w:szCs w:val="26"/>
        </w:rPr>
        <w:lastRenderedPageBreak/>
        <w:t>hurricanes. Therefore, Plaintiff claims that its entire loss—whether caused by rain entering through the roof, or inundation by river overflow—is covered.</w:t>
      </w:r>
    </w:p>
    <w:p w14:paraId="064BF20D"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2A918D21" w14:textId="77777777" w:rsidR="009F7F23" w:rsidRDefault="009F7F23">
      <w:pPr>
        <w:widowControl w:val="0"/>
        <w:autoSpaceDE w:val="0"/>
        <w:autoSpaceDN w:val="0"/>
        <w:adjustRightInd w:val="0"/>
        <w:spacing w:after="0" w:line="240" w:lineRule="auto"/>
        <w:jc w:val="both"/>
        <w:rPr>
          <w:rFonts w:ascii="Times New Roman" w:hAnsi="Times New Roman"/>
          <w:color w:val="000000"/>
          <w:sz w:val="20"/>
          <w:szCs w:val="20"/>
        </w:rPr>
      </w:pPr>
      <w:r>
        <w:rPr>
          <w:rFonts w:ascii="Times New Roman" w:hAnsi="Times New Roman"/>
          <w:color w:val="000000"/>
          <w:sz w:val="26"/>
          <w:szCs w:val="26"/>
        </w:rPr>
        <w:t>While there are various permutations of the efficient proximate cause doctrine, it is essentially an interpretive tool for determining causation when causation is not readily determinable, as when a sequence of distinct events, some covered and some excluded, combine in a chain of causation to ultimately cause a single loss. Under New Jersey law, courts look to the efficient proximate cause of the loss only “[</w:t>
      </w:r>
      <w:proofErr w:type="spellStart"/>
      <w:r>
        <w:rPr>
          <w:rFonts w:ascii="Times New Roman" w:hAnsi="Times New Roman"/>
          <w:color w:val="000000"/>
          <w:sz w:val="26"/>
          <w:szCs w:val="26"/>
        </w:rPr>
        <w:t>i</w:t>
      </w:r>
      <w:proofErr w:type="spellEnd"/>
      <w:r>
        <w:rPr>
          <w:rFonts w:ascii="Times New Roman" w:hAnsi="Times New Roman"/>
          <w:color w:val="000000"/>
          <w:sz w:val="26"/>
          <w:szCs w:val="26"/>
        </w:rPr>
        <w:t xml:space="preserve">]n situations in which multiple events, one of which is covered, occur sequentially in a chain of causation to produce a loss ....” </w:t>
      </w:r>
      <w:hyperlink r:id="rId18" w:anchor="co_pp_sp_162_1000" w:history="1">
        <w:proofErr w:type="spellStart"/>
        <w:r>
          <w:rPr>
            <w:rFonts w:ascii="Times New Roman" w:hAnsi="Times New Roman"/>
            <w:i/>
            <w:iCs/>
            <w:color w:val="0000FF"/>
            <w:sz w:val="26"/>
            <w:szCs w:val="26"/>
            <w:u w:val="single"/>
          </w:rPr>
          <w:t>Flomerfelt</w:t>
        </w:r>
        <w:proofErr w:type="spellEnd"/>
        <w:r>
          <w:rPr>
            <w:rFonts w:ascii="Times New Roman" w:hAnsi="Times New Roman"/>
            <w:i/>
            <w:iCs/>
            <w:color w:val="0000FF"/>
            <w:sz w:val="26"/>
            <w:szCs w:val="26"/>
            <w:u w:val="single"/>
          </w:rPr>
          <w:t xml:space="preserve"> v. </w:t>
        </w:r>
        <w:proofErr w:type="spellStart"/>
        <w:r>
          <w:rPr>
            <w:rFonts w:ascii="Times New Roman" w:hAnsi="Times New Roman"/>
            <w:i/>
            <w:iCs/>
            <w:color w:val="0000FF"/>
            <w:sz w:val="26"/>
            <w:szCs w:val="26"/>
            <w:u w:val="single"/>
          </w:rPr>
          <w:t>Cardiello</w:t>
        </w:r>
        <w:proofErr w:type="spellEnd"/>
        <w:r>
          <w:rPr>
            <w:rFonts w:ascii="Times New Roman" w:hAnsi="Times New Roman"/>
            <w:color w:val="0000FF"/>
            <w:sz w:val="26"/>
            <w:szCs w:val="26"/>
            <w:u w:val="single"/>
          </w:rPr>
          <w:t>, 997 A.2d 991, 1000 (N.J. 2010.)</w:t>
        </w:r>
      </w:hyperlink>
      <w:r>
        <w:rPr>
          <w:rFonts w:ascii="Times New Roman" w:hAnsi="Times New Roman"/>
          <w:color w:val="000000"/>
          <w:sz w:val="26"/>
          <w:szCs w:val="26"/>
        </w:rPr>
        <w:t xml:space="preserve"> An oft-cited example of a case requiring efficient proximate cause analysis is one where vandals broke into a warehouse, drove a truck into an air conditioning unit, which broke a valve, which caused water to flow into a drain pipe that did not work because it was blocked with a foreign object, which caused water to overflow and cause damage. </w:t>
      </w:r>
      <w:hyperlink r:id="rId19" w:anchor="co_pp_sp_162_449" w:history="1">
        <w:r>
          <w:rPr>
            <w:rFonts w:ascii="Times New Roman" w:hAnsi="Times New Roman"/>
            <w:i/>
            <w:iCs/>
            <w:color w:val="0000FF"/>
            <w:sz w:val="26"/>
            <w:szCs w:val="26"/>
            <w:u w:val="single"/>
          </w:rPr>
          <w:t>Franklin Packaging Co. v. California Union Ins. Co.</w:t>
        </w:r>
        <w:r>
          <w:rPr>
            <w:rFonts w:ascii="Times New Roman" w:hAnsi="Times New Roman"/>
            <w:color w:val="0000FF"/>
            <w:sz w:val="26"/>
            <w:szCs w:val="26"/>
            <w:u w:val="single"/>
          </w:rPr>
          <w:t>, 408 A.2d 448, 449 (N.J. App. Div. 1979.)</w:t>
        </w:r>
      </w:hyperlink>
      <w:r>
        <w:rPr>
          <w:rFonts w:ascii="Times New Roman" w:hAnsi="Times New Roman"/>
          <w:color w:val="000000"/>
          <w:sz w:val="26"/>
          <w:szCs w:val="26"/>
        </w:rPr>
        <w:t xml:space="preserve"> In that case, all of the distinct events in the chain—vandalism, damage by a truck to an air conditioner, a plumbing defect, and an overflow of water—combined to cause a the water damage at issue.</w:t>
      </w:r>
      <w:bookmarkStart w:id="4" w:name="co_tablefootnote_3_1"/>
      <w:bookmarkEnd w:id="4"/>
      <w:r>
        <w:rPr>
          <w:rFonts w:ascii="Times New Roman" w:hAnsi="Times New Roman"/>
          <w:color w:val="000000"/>
          <w:sz w:val="20"/>
          <w:szCs w:val="20"/>
        </w:rPr>
        <w:fldChar w:fldCharType="begin"/>
      </w:r>
      <w:r>
        <w:rPr>
          <w:rFonts w:ascii="Times New Roman" w:hAnsi="Times New Roman"/>
          <w:color w:val="000000"/>
          <w:sz w:val="20"/>
          <w:szCs w:val="20"/>
        </w:rPr>
        <w:instrText xml:space="preserve">HYPERLINK "#co_tablefootnoteblock_3_1" </w:instrText>
      </w:r>
      <w:r>
        <w:rPr>
          <w:rFonts w:ascii="Times New Roman" w:hAnsi="Times New Roman"/>
          <w:color w:val="000000"/>
          <w:sz w:val="20"/>
          <w:szCs w:val="20"/>
        </w:rPr>
        <w:fldChar w:fldCharType="separate"/>
      </w:r>
      <w:r>
        <w:rPr>
          <w:rFonts w:ascii="Times New Roman" w:hAnsi="Times New Roman"/>
          <w:color w:val="0000FF"/>
          <w:sz w:val="20"/>
          <w:szCs w:val="20"/>
          <w:u w:val="single"/>
          <w:vertAlign w:val="superscript"/>
        </w:rPr>
        <w:t>3</w:t>
      </w:r>
      <w:r>
        <w:rPr>
          <w:rFonts w:ascii="Times New Roman" w:hAnsi="Times New Roman"/>
          <w:color w:val="000000"/>
          <w:sz w:val="20"/>
          <w:szCs w:val="20"/>
        </w:rPr>
        <w:fldChar w:fldCharType="end"/>
      </w:r>
    </w:p>
    <w:p w14:paraId="2CDFEB81"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tbl>
      <w:tblPr>
        <w:tblW w:w="0" w:type="auto"/>
        <w:tblLayout w:type="fixed"/>
        <w:tblCellMar>
          <w:left w:w="0" w:type="dxa"/>
          <w:right w:w="0" w:type="dxa"/>
        </w:tblCellMar>
        <w:tblLook w:val="0000" w:firstRow="0" w:lastRow="0" w:firstColumn="0" w:lastColumn="0" w:noHBand="0" w:noVBand="0"/>
      </w:tblPr>
      <w:tblGrid>
        <w:gridCol w:w="600"/>
        <w:gridCol w:w="9480"/>
      </w:tblGrid>
      <w:tr w:rsidR="009F7F23" w14:paraId="715FC6E4" w14:textId="77777777">
        <w:tc>
          <w:tcPr>
            <w:tcW w:w="600" w:type="dxa"/>
            <w:tcBorders>
              <w:top w:val="nil"/>
              <w:left w:val="nil"/>
              <w:bottom w:val="nil"/>
              <w:right w:val="nil"/>
            </w:tcBorders>
          </w:tcPr>
          <w:p w14:paraId="255A7667" w14:textId="77777777" w:rsidR="009F7F23" w:rsidRDefault="00F50855">
            <w:pPr>
              <w:widowControl w:val="0"/>
              <w:autoSpaceDE w:val="0"/>
              <w:autoSpaceDN w:val="0"/>
              <w:adjustRightInd w:val="0"/>
              <w:spacing w:after="0" w:line="240" w:lineRule="auto"/>
              <w:rPr>
                <w:rFonts w:ascii="Times New Roman" w:hAnsi="Times New Roman"/>
                <w:color w:val="000000"/>
                <w:sz w:val="26"/>
                <w:szCs w:val="26"/>
              </w:rPr>
            </w:pPr>
            <w:hyperlink w:anchor="co_tablefootnote_3_1" w:history="1">
              <w:r w:rsidR="009F7F23">
                <w:rPr>
                  <w:rFonts w:ascii="Times New Roman" w:hAnsi="Times New Roman"/>
                  <w:color w:val="0000FF"/>
                  <w:sz w:val="26"/>
                  <w:szCs w:val="26"/>
                  <w:u w:val="single"/>
                  <w:vertAlign w:val="superscript"/>
                </w:rPr>
                <w:t>3</w:t>
              </w:r>
            </w:hyperlink>
          </w:p>
          <w:p w14:paraId="1A7D0C49" w14:textId="77777777" w:rsidR="009F7F23" w:rsidRDefault="009F7F23">
            <w:pPr>
              <w:widowControl w:val="0"/>
              <w:autoSpaceDE w:val="0"/>
              <w:autoSpaceDN w:val="0"/>
              <w:adjustRightInd w:val="0"/>
              <w:spacing w:after="0" w:line="240" w:lineRule="auto"/>
              <w:rPr>
                <w:rFonts w:ascii="Times New Roman" w:hAnsi="Times New Roman"/>
                <w:color w:val="000000"/>
                <w:sz w:val="26"/>
                <w:szCs w:val="26"/>
              </w:rPr>
            </w:pPr>
          </w:p>
        </w:tc>
        <w:tc>
          <w:tcPr>
            <w:tcW w:w="9480" w:type="dxa"/>
            <w:tcBorders>
              <w:top w:val="nil"/>
              <w:left w:val="nil"/>
              <w:bottom w:val="nil"/>
              <w:right w:val="nil"/>
            </w:tcBorders>
            <w:tcMar>
              <w:top w:w="130" w:type="dxa"/>
              <w:bottom w:w="130" w:type="dxa"/>
            </w:tcMar>
          </w:tcPr>
          <w:p w14:paraId="4A4D0F35"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The water loss was the only issue in dispute; the insurer paid for damage to the air conditioning unit.</w:t>
            </w:r>
          </w:p>
          <w:p w14:paraId="094D310F"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p>
        </w:tc>
      </w:tr>
    </w:tbl>
    <w:p w14:paraId="025E0CBF"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p>
    <w:p w14:paraId="6D1BAEDC"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Circumstances such as those in </w:t>
      </w:r>
      <w:r>
        <w:rPr>
          <w:rFonts w:ascii="Times New Roman" w:hAnsi="Times New Roman"/>
          <w:i/>
          <w:iCs/>
          <w:color w:val="000000"/>
          <w:sz w:val="26"/>
          <w:szCs w:val="26"/>
        </w:rPr>
        <w:t>Franklin Packaging</w:t>
      </w:r>
      <w:r>
        <w:rPr>
          <w:rFonts w:ascii="Times New Roman" w:hAnsi="Times New Roman"/>
          <w:color w:val="000000"/>
          <w:sz w:val="26"/>
          <w:szCs w:val="26"/>
        </w:rPr>
        <w:t xml:space="preserve"> involve separate, successive events causing one loss. In such cases, the court must resort to interpretive principles and other resources to determine which of the separate successive causes was the “efficient proximate cause” of the single loss. But, when causes of loss arising from a single event produce separate losses, there is no need to engage in an efficient proximate cause analysis. There, the proper analysis is the one </w:t>
      </w:r>
      <w:r w:rsidR="00281DAB">
        <w:rPr>
          <w:rFonts w:ascii="Times New Roman" w:hAnsi="Times New Roman"/>
          <w:color w:val="000000"/>
          <w:sz w:val="26"/>
          <w:szCs w:val="26"/>
        </w:rPr>
        <w:t>Northern</w:t>
      </w:r>
      <w:r>
        <w:rPr>
          <w:rFonts w:ascii="Times New Roman" w:hAnsi="Times New Roman"/>
          <w:color w:val="000000"/>
          <w:sz w:val="26"/>
          <w:szCs w:val="26"/>
        </w:rPr>
        <w:t xml:space="preserve"> adopted here: after taking stock of the facts, adjust and pay for any covered losses—here, losses caused by rain that entered through a damaged roof. If the parties disagree, as here, on the allocation of loss between covered and non-covered, that is a question that, if not resolved beforehand, is for the finder of fact to determine. </w:t>
      </w:r>
      <w:hyperlink r:id="rId20" w:anchor="co_pp_sp_162_1000" w:history="1">
        <w:proofErr w:type="spellStart"/>
        <w:r>
          <w:rPr>
            <w:rFonts w:ascii="Times New Roman" w:hAnsi="Times New Roman"/>
            <w:i/>
            <w:iCs/>
            <w:color w:val="0000FF"/>
            <w:sz w:val="26"/>
            <w:szCs w:val="26"/>
            <w:u w:val="single"/>
          </w:rPr>
          <w:t>Flomerfelt</w:t>
        </w:r>
        <w:proofErr w:type="spellEnd"/>
        <w:r>
          <w:rPr>
            <w:rFonts w:ascii="Times New Roman" w:hAnsi="Times New Roman"/>
            <w:color w:val="0000FF"/>
            <w:sz w:val="26"/>
            <w:szCs w:val="26"/>
            <w:u w:val="single"/>
          </w:rPr>
          <w:t>, 997 A.2d at 1000</w:t>
        </w:r>
      </w:hyperlink>
      <w:r>
        <w:rPr>
          <w:rFonts w:ascii="Times New Roman" w:hAnsi="Times New Roman"/>
          <w:color w:val="000000"/>
          <w:sz w:val="26"/>
          <w:szCs w:val="26"/>
        </w:rPr>
        <w:t xml:space="preserve">; </w:t>
      </w:r>
      <w:r>
        <w:rPr>
          <w:rFonts w:ascii="Times New Roman" w:hAnsi="Times New Roman"/>
          <w:i/>
          <w:iCs/>
          <w:color w:val="000000"/>
          <w:sz w:val="26"/>
          <w:szCs w:val="26"/>
        </w:rPr>
        <w:t>see</w:t>
      </w:r>
      <w:r>
        <w:rPr>
          <w:rFonts w:ascii="Times New Roman" w:hAnsi="Times New Roman"/>
          <w:color w:val="000000"/>
          <w:sz w:val="26"/>
          <w:szCs w:val="26"/>
        </w:rPr>
        <w:t xml:space="preserve"> also </w:t>
      </w:r>
      <w:hyperlink r:id="rId21" w:anchor="co_pp_sp_162_700" w:history="1">
        <w:r>
          <w:rPr>
            <w:rFonts w:ascii="Times New Roman" w:hAnsi="Times New Roman"/>
            <w:i/>
            <w:iCs/>
            <w:color w:val="0000FF"/>
            <w:sz w:val="26"/>
            <w:szCs w:val="26"/>
            <w:u w:val="single"/>
          </w:rPr>
          <w:t>Simonetti v. Selective Ins. Co.</w:t>
        </w:r>
        <w:r>
          <w:rPr>
            <w:rFonts w:ascii="Times New Roman" w:hAnsi="Times New Roman"/>
            <w:color w:val="0000FF"/>
            <w:sz w:val="26"/>
            <w:szCs w:val="26"/>
            <w:u w:val="single"/>
          </w:rPr>
          <w:t>, 859 A.2d 694, 700 (N.J. App. Div. 2004)</w:t>
        </w:r>
      </w:hyperlink>
      <w:r>
        <w:rPr>
          <w:rFonts w:ascii="Times New Roman" w:hAnsi="Times New Roman"/>
          <w:color w:val="000000"/>
          <w:sz w:val="26"/>
          <w:szCs w:val="26"/>
        </w:rPr>
        <w:t xml:space="preserve"> (“where included and excluded causes occur concurrently, it is for the factfinder to determine which part of the damage was due to the included cause of loss and for which the insured can recover.”)</w:t>
      </w:r>
    </w:p>
    <w:p w14:paraId="5A1025F5"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388D1879"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This motion does not ask the Court to decide the allocation between covered and non-covered losses at the Warehouse. The only relief this motion seeks is a declaration that the flood exclusion does what it is supposed to do—exclude damage caused by flood. What brought the flood—and whether you call it a widespread inundation, or a storm surge event, or the result of a hurricane—does not change its essential character as a flood.</w:t>
      </w:r>
    </w:p>
    <w:p w14:paraId="17F0A616"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06206274" w14:textId="77777777" w:rsidR="009F7F23" w:rsidRDefault="00F50855">
      <w:pPr>
        <w:widowControl w:val="0"/>
        <w:autoSpaceDE w:val="0"/>
        <w:autoSpaceDN w:val="0"/>
        <w:adjustRightInd w:val="0"/>
        <w:spacing w:after="0" w:line="240" w:lineRule="auto"/>
        <w:jc w:val="both"/>
        <w:rPr>
          <w:rFonts w:ascii="Times New Roman" w:hAnsi="Times New Roman"/>
          <w:color w:val="000000"/>
          <w:sz w:val="26"/>
          <w:szCs w:val="26"/>
        </w:rPr>
      </w:pPr>
      <w:hyperlink r:id="rId22" w:anchor="co_pp_sp_162_1000" w:history="1">
        <w:r w:rsidR="009F7F23">
          <w:rPr>
            <w:rFonts w:ascii="Times New Roman" w:hAnsi="Times New Roman"/>
            <w:color w:val="0000FF"/>
            <w:sz w:val="26"/>
            <w:szCs w:val="26"/>
            <w:u w:val="single"/>
          </w:rPr>
          <w:t xml:space="preserve">In </w:t>
        </w:r>
        <w:proofErr w:type="spellStart"/>
        <w:r w:rsidR="009F7F23">
          <w:rPr>
            <w:rFonts w:ascii="Times New Roman" w:hAnsi="Times New Roman"/>
            <w:i/>
            <w:iCs/>
            <w:color w:val="0000FF"/>
            <w:sz w:val="26"/>
            <w:szCs w:val="26"/>
            <w:u w:val="single"/>
          </w:rPr>
          <w:t>Flomerfelt</w:t>
        </w:r>
        <w:proofErr w:type="spellEnd"/>
        <w:r w:rsidR="009F7F23">
          <w:rPr>
            <w:rFonts w:ascii="Times New Roman" w:hAnsi="Times New Roman"/>
            <w:color w:val="0000FF"/>
            <w:sz w:val="26"/>
            <w:szCs w:val="26"/>
            <w:u w:val="single"/>
          </w:rPr>
          <w:t>, 997 A.2d at 1000</w:t>
        </w:r>
      </w:hyperlink>
      <w:r w:rsidR="009F7F23">
        <w:rPr>
          <w:rFonts w:ascii="Times New Roman" w:hAnsi="Times New Roman"/>
          <w:color w:val="000000"/>
          <w:sz w:val="26"/>
          <w:szCs w:val="26"/>
        </w:rPr>
        <w:t xml:space="preserve">, the New Jersey Supreme Court cited two decisions as examples of where an efficient proximate cause analysis does </w:t>
      </w:r>
      <w:r w:rsidR="009F7F23">
        <w:rPr>
          <w:rFonts w:ascii="Times New Roman" w:hAnsi="Times New Roman"/>
          <w:i/>
          <w:iCs/>
          <w:color w:val="000000"/>
          <w:sz w:val="26"/>
          <w:szCs w:val="26"/>
        </w:rPr>
        <w:t>not</w:t>
      </w:r>
      <w:r w:rsidR="009F7F23">
        <w:rPr>
          <w:rFonts w:ascii="Times New Roman" w:hAnsi="Times New Roman"/>
          <w:color w:val="000000"/>
          <w:sz w:val="26"/>
          <w:szCs w:val="26"/>
        </w:rPr>
        <w:t xml:space="preserve"> apply. Both involve flood waters driven by a hurricane or windstorm. In </w:t>
      </w:r>
      <w:hyperlink r:id="rId23" w:history="1">
        <w:r w:rsidR="009F7F23">
          <w:rPr>
            <w:rFonts w:ascii="Times New Roman" w:hAnsi="Times New Roman"/>
            <w:i/>
            <w:iCs/>
            <w:color w:val="0000FF"/>
            <w:sz w:val="26"/>
            <w:szCs w:val="26"/>
            <w:u w:val="single"/>
          </w:rPr>
          <w:t>Brindley v. Firemen’s Ins. Co.</w:t>
        </w:r>
        <w:r w:rsidR="009F7F23">
          <w:rPr>
            <w:rFonts w:ascii="Times New Roman" w:hAnsi="Times New Roman"/>
            <w:color w:val="0000FF"/>
            <w:sz w:val="26"/>
            <w:szCs w:val="26"/>
            <w:u w:val="single"/>
          </w:rPr>
          <w:t>, 113 A.2d 53 (N.J. App. Div. 1955)</w:t>
        </w:r>
      </w:hyperlink>
      <w:r w:rsidR="009F7F23">
        <w:rPr>
          <w:rFonts w:ascii="Times New Roman" w:hAnsi="Times New Roman"/>
          <w:color w:val="000000"/>
          <w:sz w:val="26"/>
          <w:szCs w:val="26"/>
        </w:rPr>
        <w:t xml:space="preserve">, a beachfront house was damaged during a severe windstorm, which one witness described </w:t>
      </w:r>
      <w:r w:rsidR="009F7F23">
        <w:rPr>
          <w:rFonts w:ascii="Times New Roman" w:hAnsi="Times New Roman"/>
          <w:color w:val="000000"/>
          <w:sz w:val="26"/>
          <w:szCs w:val="26"/>
        </w:rPr>
        <w:lastRenderedPageBreak/>
        <w:t xml:space="preserve">as a hurricane. There was evidence of flooding as well as wind damage. The policy covered windstorm and excluded loss caused by flood. </w:t>
      </w:r>
      <w:hyperlink r:id="rId24" w:anchor="co_pp_sp_162_55" w:history="1">
        <w:r w:rsidR="009F7F23">
          <w:rPr>
            <w:rFonts w:ascii="Times New Roman" w:hAnsi="Times New Roman"/>
            <w:i/>
            <w:iCs/>
            <w:color w:val="0000FF"/>
            <w:sz w:val="26"/>
            <w:szCs w:val="26"/>
            <w:u w:val="single"/>
          </w:rPr>
          <w:t>Id.</w:t>
        </w:r>
        <w:r w:rsidR="009F7F23">
          <w:rPr>
            <w:rFonts w:ascii="Times New Roman" w:hAnsi="Times New Roman"/>
            <w:color w:val="0000FF"/>
            <w:sz w:val="26"/>
            <w:szCs w:val="26"/>
            <w:u w:val="single"/>
          </w:rPr>
          <w:t xml:space="preserve"> at 55-56</w:t>
        </w:r>
      </w:hyperlink>
      <w:r w:rsidR="009F7F23">
        <w:rPr>
          <w:rFonts w:ascii="Times New Roman" w:hAnsi="Times New Roman"/>
          <w:color w:val="000000"/>
          <w:sz w:val="26"/>
          <w:szCs w:val="26"/>
        </w:rPr>
        <w:t>. The Appellate Division held that identifiable wind damage, such as damage to shingles and the antenna on the house’s roof, was covered, but that “[l]</w:t>
      </w:r>
      <w:proofErr w:type="spellStart"/>
      <w:r w:rsidR="009F7F23">
        <w:rPr>
          <w:rFonts w:ascii="Times New Roman" w:hAnsi="Times New Roman"/>
          <w:color w:val="000000"/>
          <w:sz w:val="26"/>
          <w:szCs w:val="26"/>
        </w:rPr>
        <w:t>oss</w:t>
      </w:r>
      <w:proofErr w:type="spellEnd"/>
      <w:r w:rsidR="009F7F23">
        <w:rPr>
          <w:rFonts w:ascii="Times New Roman" w:hAnsi="Times New Roman"/>
          <w:color w:val="000000"/>
          <w:sz w:val="26"/>
          <w:szCs w:val="26"/>
        </w:rPr>
        <w:t xml:space="preserve"> due to the effect of causes both within and outside the coverage, operating conjointly, is generally considered not recoverable under this kind of provision.” </w:t>
      </w:r>
      <w:hyperlink r:id="rId25" w:anchor="co_pp_sp_162_56" w:history="1">
        <w:r w:rsidR="009F7F23">
          <w:rPr>
            <w:rFonts w:ascii="Times New Roman" w:hAnsi="Times New Roman"/>
            <w:i/>
            <w:iCs/>
            <w:color w:val="0000FF"/>
            <w:sz w:val="26"/>
            <w:szCs w:val="26"/>
            <w:u w:val="single"/>
          </w:rPr>
          <w:t>Id.</w:t>
        </w:r>
        <w:r w:rsidR="009F7F23">
          <w:rPr>
            <w:rFonts w:ascii="Times New Roman" w:hAnsi="Times New Roman"/>
            <w:color w:val="0000FF"/>
            <w:sz w:val="26"/>
            <w:szCs w:val="26"/>
            <w:u w:val="single"/>
          </w:rPr>
          <w:t xml:space="preserve"> at 56</w:t>
        </w:r>
      </w:hyperlink>
      <w:r w:rsidR="009F7F23">
        <w:rPr>
          <w:rFonts w:ascii="Times New Roman" w:hAnsi="Times New Roman"/>
          <w:color w:val="000000"/>
          <w:sz w:val="26"/>
          <w:szCs w:val="26"/>
        </w:rPr>
        <w:t xml:space="preserve">; </w:t>
      </w:r>
      <w:r w:rsidR="009F7F23">
        <w:rPr>
          <w:rFonts w:ascii="Times New Roman" w:hAnsi="Times New Roman"/>
          <w:i/>
          <w:iCs/>
          <w:color w:val="000000"/>
          <w:sz w:val="26"/>
          <w:szCs w:val="26"/>
        </w:rPr>
        <w:t xml:space="preserve">see also </w:t>
      </w:r>
      <w:hyperlink r:id="rId26" w:anchor="co_pp_sp_162_175" w:history="1">
        <w:r w:rsidR="009F7F23">
          <w:rPr>
            <w:rFonts w:ascii="Times New Roman" w:hAnsi="Times New Roman"/>
            <w:i/>
            <w:iCs/>
            <w:color w:val="0000FF"/>
            <w:sz w:val="26"/>
            <w:szCs w:val="26"/>
            <w:u w:val="single"/>
          </w:rPr>
          <w:t>Newman v. Great Am. Ins. Co.</w:t>
        </w:r>
        <w:r w:rsidR="009F7F23">
          <w:rPr>
            <w:rFonts w:ascii="Times New Roman" w:hAnsi="Times New Roman"/>
            <w:color w:val="0000FF"/>
            <w:sz w:val="26"/>
            <w:szCs w:val="26"/>
            <w:u w:val="single"/>
          </w:rPr>
          <w:t>, 207 A.2d 167, 175 (N.J. App. Div. 1965)</w:t>
        </w:r>
      </w:hyperlink>
      <w:r w:rsidR="009F7F23">
        <w:rPr>
          <w:rFonts w:ascii="Times New Roman" w:hAnsi="Times New Roman"/>
          <w:color w:val="000000"/>
          <w:sz w:val="26"/>
          <w:szCs w:val="26"/>
        </w:rPr>
        <w:t xml:space="preserve"> (adhering to </w:t>
      </w:r>
      <w:r w:rsidR="009F7F23">
        <w:rPr>
          <w:rFonts w:ascii="Times New Roman" w:hAnsi="Times New Roman"/>
          <w:i/>
          <w:iCs/>
          <w:color w:val="000000"/>
          <w:sz w:val="26"/>
          <w:szCs w:val="26"/>
        </w:rPr>
        <w:t>Brindley.</w:t>
      </w:r>
      <w:r w:rsidR="009F7F23">
        <w:rPr>
          <w:rFonts w:ascii="Times New Roman" w:hAnsi="Times New Roman"/>
          <w:color w:val="000000"/>
          <w:sz w:val="26"/>
          <w:szCs w:val="26"/>
        </w:rPr>
        <w:t>)</w:t>
      </w:r>
    </w:p>
    <w:p w14:paraId="236DA20E"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3FEEC97B"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Similarly here, Storm Sandy caused two types of damage to the Warehouse: (1) damage caused by rain entering through storm-caused openings in the roof, a covered loss under the Policy; and (2) damage caused by flooding from an adjacent river, which the Policy excludes. As in </w:t>
      </w:r>
      <w:r>
        <w:rPr>
          <w:rFonts w:ascii="Times New Roman" w:hAnsi="Times New Roman"/>
          <w:i/>
          <w:iCs/>
          <w:color w:val="000000"/>
          <w:sz w:val="26"/>
          <w:szCs w:val="26"/>
        </w:rPr>
        <w:t>Brindley</w:t>
      </w:r>
      <w:r>
        <w:rPr>
          <w:rFonts w:ascii="Times New Roman" w:hAnsi="Times New Roman"/>
          <w:color w:val="000000"/>
          <w:sz w:val="26"/>
          <w:szCs w:val="26"/>
        </w:rPr>
        <w:t xml:space="preserve">, the wind damage must be segregated from the flood damage by the factfinder, and no efficient proximate causation analysis is necessary. </w:t>
      </w:r>
      <w:hyperlink r:id="rId27" w:anchor="co_pp_sp_162_1000" w:history="1">
        <w:proofErr w:type="spellStart"/>
        <w:r>
          <w:rPr>
            <w:rFonts w:ascii="Times New Roman" w:hAnsi="Times New Roman"/>
            <w:i/>
            <w:iCs/>
            <w:color w:val="0000FF"/>
            <w:sz w:val="26"/>
            <w:szCs w:val="26"/>
            <w:u w:val="single"/>
          </w:rPr>
          <w:t>Flomerfelt</w:t>
        </w:r>
        <w:proofErr w:type="spellEnd"/>
        <w:r>
          <w:rPr>
            <w:rFonts w:ascii="Times New Roman" w:hAnsi="Times New Roman"/>
            <w:color w:val="0000FF"/>
            <w:sz w:val="26"/>
            <w:szCs w:val="26"/>
            <w:u w:val="single"/>
          </w:rPr>
          <w:t>, 997 A.2d at 1000</w:t>
        </w:r>
      </w:hyperlink>
      <w:r>
        <w:rPr>
          <w:rFonts w:ascii="Times New Roman" w:hAnsi="Times New Roman"/>
          <w:color w:val="000000"/>
          <w:sz w:val="26"/>
          <w:szCs w:val="26"/>
        </w:rPr>
        <w:t xml:space="preserve">; </w:t>
      </w:r>
      <w:hyperlink r:id="rId28" w:anchor="co_pp_sp_162_56" w:history="1">
        <w:r>
          <w:rPr>
            <w:rFonts w:ascii="Times New Roman" w:hAnsi="Times New Roman"/>
            <w:i/>
            <w:iCs/>
            <w:color w:val="0000FF"/>
            <w:sz w:val="26"/>
            <w:szCs w:val="26"/>
            <w:u w:val="single"/>
          </w:rPr>
          <w:t>Brindley</w:t>
        </w:r>
        <w:r>
          <w:rPr>
            <w:rFonts w:ascii="Times New Roman" w:hAnsi="Times New Roman"/>
            <w:color w:val="0000FF"/>
            <w:sz w:val="26"/>
            <w:szCs w:val="26"/>
            <w:u w:val="single"/>
          </w:rPr>
          <w:t>, 113 A.2d at 56</w:t>
        </w:r>
      </w:hyperlink>
      <w:r>
        <w:rPr>
          <w:rFonts w:ascii="Times New Roman" w:hAnsi="Times New Roman"/>
          <w:color w:val="000000"/>
          <w:sz w:val="26"/>
          <w:szCs w:val="26"/>
        </w:rPr>
        <w:t>.</w:t>
      </w:r>
    </w:p>
    <w:p w14:paraId="46B437B8"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0ACA64FD" w14:textId="7AEA222E" w:rsidR="009F7F23" w:rsidRDefault="00F50855">
      <w:pPr>
        <w:widowControl w:val="0"/>
        <w:autoSpaceDE w:val="0"/>
        <w:autoSpaceDN w:val="0"/>
        <w:adjustRightInd w:val="0"/>
        <w:spacing w:before="520" w:after="260" w:line="240" w:lineRule="auto"/>
        <w:jc w:val="center"/>
        <w:rPr>
          <w:rFonts w:ascii="Times New Roman" w:hAnsi="Times New Roman"/>
          <w:b/>
          <w:bCs/>
          <w:color w:val="000000"/>
          <w:sz w:val="26"/>
          <w:szCs w:val="26"/>
        </w:rPr>
      </w:pPr>
      <w:r>
        <w:rPr>
          <w:rFonts w:ascii="Times New Roman" w:hAnsi="Times New Roman"/>
          <w:b/>
          <w:bCs/>
          <w:color w:val="000000"/>
          <w:sz w:val="26"/>
          <w:szCs w:val="26"/>
        </w:rPr>
        <w:t>B</w:t>
      </w:r>
      <w:r w:rsidR="009F7F23">
        <w:rPr>
          <w:rFonts w:ascii="Times New Roman" w:hAnsi="Times New Roman"/>
          <w:b/>
          <w:bCs/>
          <w:color w:val="000000"/>
          <w:sz w:val="26"/>
          <w:szCs w:val="26"/>
        </w:rPr>
        <w:t xml:space="preserve">. The Extensive Body of Law Arising From Hurricane Katrina, In Which Courts Eschewed Convoluted Chain of Causation Analyses and Held that “A Flood is a Flood,” Supports </w:t>
      </w:r>
      <w:proofErr w:type="spellStart"/>
      <w:r w:rsidR="00281DAB">
        <w:rPr>
          <w:rFonts w:ascii="Times New Roman" w:hAnsi="Times New Roman"/>
          <w:b/>
          <w:bCs/>
          <w:color w:val="000000"/>
          <w:sz w:val="26"/>
          <w:szCs w:val="26"/>
        </w:rPr>
        <w:t>Northern’s</w:t>
      </w:r>
      <w:proofErr w:type="spellEnd"/>
      <w:r w:rsidR="009F7F23">
        <w:rPr>
          <w:rFonts w:ascii="Times New Roman" w:hAnsi="Times New Roman"/>
          <w:b/>
          <w:bCs/>
          <w:color w:val="000000"/>
          <w:sz w:val="26"/>
          <w:szCs w:val="26"/>
        </w:rPr>
        <w:t xml:space="preserve"> Coverage Position In This Case</w:t>
      </w:r>
    </w:p>
    <w:p w14:paraId="1190FAE8"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The appellate decisions arising from Hurricane Katrina deal extensively with the same issues involved in this case. Like Storm Sandy, Hurricane Katrina, the 2005 storm that devastated Gulf Coast properties, caused both wind and flood damage. Some of the flooding was induced by heavy rain, some of it by tidal surge generated when wind whips up the tides, and some a combination of both. There was storm surge on the Mississippi coastline, the overtopping and breach of levees in New Orleans and surrounding parishes, and the overflow of vast Lake Pontchartrain into the towns and cities that surround it. But the source of the damage was the same: massive inundations of water on normally dry land, or flooding.</w:t>
      </w:r>
    </w:p>
    <w:p w14:paraId="01F64437"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5FA3B2B8"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In the context of property insurance claims, whether Hurricane Katrina damage was characterized as “flood” made a great deal of difference in coverage outcomes. Flood is excluded under most property insurance policies. Consequently, whether the policies’ water damage exclusions applied generated considerable high-profile litigation. In Mississippi, where storm surge caused massive damage, policyholder attorneys tried to characterize the surge as something different from a flood. A good example is </w:t>
      </w:r>
      <w:hyperlink r:id="rId29" w:history="1">
        <w:r>
          <w:rPr>
            <w:rFonts w:ascii="Times New Roman" w:hAnsi="Times New Roman"/>
            <w:i/>
            <w:iCs/>
            <w:color w:val="0000FF"/>
            <w:sz w:val="26"/>
            <w:szCs w:val="26"/>
            <w:u w:val="single"/>
          </w:rPr>
          <w:t xml:space="preserve">Corban v. United Services Auto. </w:t>
        </w:r>
        <w:proofErr w:type="spellStart"/>
        <w:r>
          <w:rPr>
            <w:rFonts w:ascii="Times New Roman" w:hAnsi="Times New Roman"/>
            <w:i/>
            <w:iCs/>
            <w:color w:val="0000FF"/>
            <w:sz w:val="26"/>
            <w:szCs w:val="26"/>
            <w:u w:val="single"/>
          </w:rPr>
          <w:t>Ass’n</w:t>
        </w:r>
        <w:proofErr w:type="spellEnd"/>
        <w:r>
          <w:rPr>
            <w:rFonts w:ascii="Times New Roman" w:hAnsi="Times New Roman"/>
            <w:color w:val="0000FF"/>
            <w:sz w:val="26"/>
            <w:szCs w:val="26"/>
            <w:u w:val="single"/>
          </w:rPr>
          <w:t>, 20 So. 3d 601 (Miss. 2009.)</w:t>
        </w:r>
      </w:hyperlink>
      <w:r>
        <w:rPr>
          <w:rFonts w:ascii="Times New Roman" w:hAnsi="Times New Roman"/>
          <w:color w:val="000000"/>
          <w:sz w:val="26"/>
          <w:szCs w:val="26"/>
        </w:rPr>
        <w:t xml:space="preserve"> In that case, the insureds’ property in Long Beach, Mississippi suffered damage from storm surge, which the court characterized as “a phenomenon associated with hurricanes,” in which “[a]</w:t>
      </w:r>
      <w:proofErr w:type="spellStart"/>
      <w:r>
        <w:rPr>
          <w:rFonts w:ascii="Times New Roman" w:hAnsi="Times New Roman"/>
          <w:color w:val="000000"/>
          <w:sz w:val="26"/>
          <w:szCs w:val="26"/>
        </w:rPr>
        <w:t>tmospheric</w:t>
      </w:r>
      <w:proofErr w:type="spellEnd"/>
      <w:r>
        <w:rPr>
          <w:rFonts w:ascii="Times New Roman" w:hAnsi="Times New Roman"/>
          <w:color w:val="000000"/>
          <w:sz w:val="26"/>
          <w:szCs w:val="26"/>
        </w:rPr>
        <w:t xml:space="preserve"> conditions and wind forces combine to force tidal waters ashore and temporarily inundate areas of normally dry land.” </w:t>
      </w:r>
      <w:hyperlink r:id="rId30" w:anchor="co_pp_sp_3926_610" w:history="1">
        <w:r>
          <w:rPr>
            <w:rFonts w:ascii="Times New Roman" w:hAnsi="Times New Roman"/>
            <w:i/>
            <w:iCs/>
            <w:color w:val="0000FF"/>
            <w:sz w:val="26"/>
            <w:szCs w:val="26"/>
            <w:u w:val="single"/>
          </w:rPr>
          <w:t>Id.</w:t>
        </w:r>
        <w:r>
          <w:rPr>
            <w:rFonts w:ascii="Times New Roman" w:hAnsi="Times New Roman"/>
            <w:color w:val="0000FF"/>
            <w:sz w:val="26"/>
            <w:szCs w:val="26"/>
            <w:u w:val="single"/>
          </w:rPr>
          <w:t xml:space="preserve"> at 610</w:t>
        </w:r>
      </w:hyperlink>
      <w:r>
        <w:rPr>
          <w:rFonts w:ascii="Times New Roman" w:hAnsi="Times New Roman"/>
          <w:color w:val="000000"/>
          <w:sz w:val="26"/>
          <w:szCs w:val="26"/>
        </w:rPr>
        <w:t xml:space="preserve">, </w:t>
      </w:r>
      <w:r>
        <w:rPr>
          <w:rFonts w:ascii="Times New Roman" w:hAnsi="Times New Roman"/>
          <w:i/>
          <w:iCs/>
          <w:color w:val="000000"/>
          <w:sz w:val="26"/>
          <w:szCs w:val="26"/>
        </w:rPr>
        <w:t xml:space="preserve">quoting </w:t>
      </w:r>
      <w:hyperlink r:id="rId31" w:anchor="co_pp_sp_4637_692" w:history="1">
        <w:r>
          <w:rPr>
            <w:rFonts w:ascii="Times New Roman" w:hAnsi="Times New Roman"/>
            <w:i/>
            <w:iCs/>
            <w:color w:val="0000FF"/>
            <w:sz w:val="26"/>
            <w:szCs w:val="26"/>
            <w:u w:val="single"/>
          </w:rPr>
          <w:t>Leonard v. Nationwide Mut. Ins. Co.</w:t>
        </w:r>
        <w:r>
          <w:rPr>
            <w:rFonts w:ascii="Times New Roman" w:hAnsi="Times New Roman"/>
            <w:color w:val="0000FF"/>
            <w:sz w:val="26"/>
            <w:szCs w:val="26"/>
            <w:u w:val="single"/>
          </w:rPr>
          <w:t>, 438 F. Supp. 2d 684, 692 (S.D. Miss. 2006)</w:t>
        </w:r>
      </w:hyperlink>
      <w:r>
        <w:rPr>
          <w:rFonts w:ascii="Times New Roman" w:hAnsi="Times New Roman"/>
          <w:color w:val="000000"/>
          <w:sz w:val="26"/>
          <w:szCs w:val="26"/>
        </w:rPr>
        <w:t>). The plaintiffs argued, as here, that storm surge was something different from flooding, a wind-induced event that did not fall within the policy’s exclusion for water damage.</w:t>
      </w:r>
    </w:p>
    <w:p w14:paraId="260C144A"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38732463"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The Mississippi Supreme Court agreed with the trial court that a storm surge was a flood. Storm surge, the court held, “is plainly encompassed within the ‘flood’ or ‘overflow of a body of water’ </w:t>
      </w:r>
      <w:r>
        <w:rPr>
          <w:rFonts w:ascii="Times New Roman" w:hAnsi="Times New Roman"/>
          <w:color w:val="000000"/>
          <w:sz w:val="26"/>
          <w:szCs w:val="26"/>
        </w:rPr>
        <w:lastRenderedPageBreak/>
        <w:t xml:space="preserve">portions of the ‘water damage’ definition, and no other ‘logical interpretation’ exists.” </w:t>
      </w:r>
      <w:r>
        <w:rPr>
          <w:rFonts w:ascii="Times New Roman" w:hAnsi="Times New Roman"/>
          <w:i/>
          <w:iCs/>
          <w:color w:val="000000"/>
          <w:sz w:val="26"/>
          <w:szCs w:val="26"/>
        </w:rPr>
        <w:t>Corban</w:t>
      </w:r>
      <w:r>
        <w:rPr>
          <w:rFonts w:ascii="Times New Roman" w:hAnsi="Times New Roman"/>
          <w:color w:val="000000"/>
          <w:sz w:val="26"/>
          <w:szCs w:val="26"/>
        </w:rPr>
        <w:t xml:space="preserve">, 20 So. 2d at 611; </w:t>
      </w:r>
      <w:r>
        <w:rPr>
          <w:rFonts w:ascii="Times New Roman" w:hAnsi="Times New Roman"/>
          <w:i/>
          <w:iCs/>
          <w:color w:val="000000"/>
          <w:sz w:val="26"/>
          <w:szCs w:val="26"/>
        </w:rPr>
        <w:t xml:space="preserve">see also </w:t>
      </w:r>
      <w:hyperlink r:id="rId32" w:anchor="co_pp_sp_506_437" w:history="1">
        <w:r>
          <w:rPr>
            <w:rFonts w:ascii="Times New Roman" w:hAnsi="Times New Roman"/>
            <w:i/>
            <w:iCs/>
            <w:color w:val="0000FF"/>
            <w:sz w:val="26"/>
            <w:szCs w:val="26"/>
            <w:u w:val="single"/>
          </w:rPr>
          <w:t>Leonard v. Nationwide Mut. Ins. Co.</w:t>
        </w:r>
        <w:r>
          <w:rPr>
            <w:rFonts w:ascii="Times New Roman" w:hAnsi="Times New Roman"/>
            <w:color w:val="0000FF"/>
            <w:sz w:val="26"/>
            <w:szCs w:val="26"/>
            <w:u w:val="single"/>
          </w:rPr>
          <w:t>, 499 F.3d 419, 437 (5th Cir. 2007)</w:t>
        </w:r>
      </w:hyperlink>
      <w:r>
        <w:rPr>
          <w:rFonts w:ascii="Times New Roman" w:hAnsi="Times New Roman"/>
          <w:color w:val="000000"/>
          <w:sz w:val="26"/>
          <w:szCs w:val="26"/>
        </w:rPr>
        <w:t xml:space="preserve"> (“No decision of this court or any other of which we are aware endorses the [insureds’] view that storm surge is a unique meteorological phenomenon not contemplated by water-damages exclusions.”)</w:t>
      </w:r>
    </w:p>
    <w:p w14:paraId="3447CB13"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41465AF7"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The court in </w:t>
      </w:r>
      <w:r>
        <w:rPr>
          <w:rFonts w:ascii="Times New Roman" w:hAnsi="Times New Roman"/>
          <w:i/>
          <w:iCs/>
          <w:color w:val="000000"/>
          <w:sz w:val="26"/>
          <w:szCs w:val="26"/>
        </w:rPr>
        <w:t>Corban</w:t>
      </w:r>
      <w:r>
        <w:rPr>
          <w:rFonts w:ascii="Times New Roman" w:hAnsi="Times New Roman"/>
          <w:color w:val="000000"/>
          <w:sz w:val="26"/>
          <w:szCs w:val="26"/>
        </w:rPr>
        <w:t xml:space="preserve"> discussed how wind and flood damage arising from a hurricane should be treated, explaining that: “If damage is caused by a covered peril, the insured is entitled to indemnification for the covered loss, as the insured’s right to recover for the loss has vested. Conversely, if the damage is caused by an excluded peril, the insured is not entitled to indemnification for that uncovered loss.” </w:t>
      </w:r>
      <w:hyperlink r:id="rId33" w:anchor="co_pp_sp_3926_616" w:history="1">
        <w:r>
          <w:rPr>
            <w:rFonts w:ascii="Times New Roman" w:hAnsi="Times New Roman"/>
            <w:i/>
            <w:iCs/>
            <w:color w:val="0000FF"/>
            <w:sz w:val="26"/>
            <w:szCs w:val="26"/>
            <w:u w:val="single"/>
          </w:rPr>
          <w:t>Corban</w:t>
        </w:r>
        <w:r>
          <w:rPr>
            <w:rFonts w:ascii="Times New Roman" w:hAnsi="Times New Roman"/>
            <w:color w:val="0000FF"/>
            <w:sz w:val="26"/>
            <w:szCs w:val="26"/>
            <w:u w:val="single"/>
          </w:rPr>
          <w:t>, 20 So. 3d at 616</w:t>
        </w:r>
      </w:hyperlink>
      <w:r>
        <w:rPr>
          <w:rFonts w:ascii="Times New Roman" w:hAnsi="Times New Roman"/>
          <w:color w:val="000000"/>
          <w:sz w:val="26"/>
          <w:szCs w:val="26"/>
        </w:rPr>
        <w:t xml:space="preserve"> (citations omitted.) Accordingly, the court held, “a finder of fact must determine what losses, if any, were caused by wind, and what losses, if any, were caused by flood. If the property suffered damage from wind, and separately was damaged by flood, the insured is entitled to be compensated for those losses caused by wind. Any loss caused by ‘[flood] damage’ is excluded.” </w:t>
      </w:r>
      <w:r>
        <w:rPr>
          <w:rFonts w:ascii="Times New Roman" w:hAnsi="Times New Roman"/>
          <w:i/>
          <w:iCs/>
          <w:color w:val="000000"/>
          <w:sz w:val="26"/>
          <w:szCs w:val="26"/>
        </w:rPr>
        <w:t>Id.</w:t>
      </w:r>
      <w:r>
        <w:rPr>
          <w:rFonts w:ascii="Times New Roman" w:hAnsi="Times New Roman"/>
          <w:color w:val="000000"/>
          <w:sz w:val="26"/>
          <w:szCs w:val="26"/>
        </w:rPr>
        <w:t xml:space="preserve"> That holding is fully consistent with New Jersey law, </w:t>
      </w:r>
      <w:hyperlink r:id="rId34" w:anchor="co_pp_sp_162_1000" w:history="1">
        <w:proofErr w:type="spellStart"/>
        <w:r>
          <w:rPr>
            <w:rFonts w:ascii="Times New Roman" w:hAnsi="Times New Roman"/>
            <w:i/>
            <w:iCs/>
            <w:color w:val="0000FF"/>
            <w:sz w:val="26"/>
            <w:szCs w:val="26"/>
            <w:u w:val="single"/>
          </w:rPr>
          <w:t>Flomerfelt</w:t>
        </w:r>
        <w:proofErr w:type="spellEnd"/>
        <w:r>
          <w:rPr>
            <w:rFonts w:ascii="Times New Roman" w:hAnsi="Times New Roman"/>
            <w:color w:val="0000FF"/>
            <w:sz w:val="26"/>
            <w:szCs w:val="26"/>
            <w:u w:val="single"/>
          </w:rPr>
          <w:t>, 997 A.2d at 1000</w:t>
        </w:r>
      </w:hyperlink>
      <w:r>
        <w:rPr>
          <w:rFonts w:ascii="Times New Roman" w:hAnsi="Times New Roman"/>
          <w:color w:val="000000"/>
          <w:sz w:val="26"/>
          <w:szCs w:val="26"/>
        </w:rPr>
        <w:t xml:space="preserve">, and is precisely the approach </w:t>
      </w:r>
      <w:r w:rsidR="00281DAB">
        <w:rPr>
          <w:rFonts w:ascii="Times New Roman" w:hAnsi="Times New Roman"/>
          <w:color w:val="000000"/>
          <w:sz w:val="26"/>
          <w:szCs w:val="26"/>
        </w:rPr>
        <w:t>Northern</w:t>
      </w:r>
      <w:r>
        <w:rPr>
          <w:rFonts w:ascii="Times New Roman" w:hAnsi="Times New Roman"/>
          <w:color w:val="000000"/>
          <w:sz w:val="26"/>
          <w:szCs w:val="26"/>
        </w:rPr>
        <w:t xml:space="preserve"> took in adjusting plaintiff’s claim.</w:t>
      </w:r>
    </w:p>
    <w:p w14:paraId="431C7F03"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3741624B" w14:textId="1C8752EB" w:rsidR="009F7F23" w:rsidRDefault="00F50855">
      <w:pPr>
        <w:widowControl w:val="0"/>
        <w:autoSpaceDE w:val="0"/>
        <w:autoSpaceDN w:val="0"/>
        <w:adjustRightInd w:val="0"/>
        <w:spacing w:before="520" w:after="260" w:line="240" w:lineRule="auto"/>
        <w:jc w:val="center"/>
        <w:rPr>
          <w:rFonts w:ascii="Times New Roman" w:hAnsi="Times New Roman"/>
          <w:b/>
          <w:bCs/>
          <w:color w:val="000000"/>
          <w:sz w:val="26"/>
          <w:szCs w:val="26"/>
        </w:rPr>
      </w:pPr>
      <w:r>
        <w:rPr>
          <w:rFonts w:ascii="Times New Roman" w:hAnsi="Times New Roman"/>
          <w:b/>
          <w:bCs/>
          <w:color w:val="000000"/>
          <w:sz w:val="26"/>
          <w:szCs w:val="26"/>
        </w:rPr>
        <w:t>C</w:t>
      </w:r>
      <w:r w:rsidR="009F7F23">
        <w:rPr>
          <w:rFonts w:ascii="Times New Roman" w:hAnsi="Times New Roman"/>
          <w:b/>
          <w:bCs/>
          <w:color w:val="000000"/>
          <w:sz w:val="26"/>
          <w:szCs w:val="26"/>
        </w:rPr>
        <w:t xml:space="preserve">. The Absence of Anti-Concurrent Causation Language in </w:t>
      </w:r>
      <w:proofErr w:type="spellStart"/>
      <w:r w:rsidR="00281DAB">
        <w:rPr>
          <w:rFonts w:ascii="Times New Roman" w:hAnsi="Times New Roman"/>
          <w:b/>
          <w:bCs/>
          <w:color w:val="000000"/>
          <w:sz w:val="26"/>
          <w:szCs w:val="26"/>
        </w:rPr>
        <w:t>Northern’s</w:t>
      </w:r>
      <w:proofErr w:type="spellEnd"/>
      <w:r w:rsidR="009F7F23">
        <w:rPr>
          <w:rFonts w:ascii="Times New Roman" w:hAnsi="Times New Roman"/>
          <w:b/>
          <w:bCs/>
          <w:color w:val="000000"/>
          <w:sz w:val="26"/>
          <w:szCs w:val="26"/>
        </w:rPr>
        <w:t xml:space="preserve"> Policy Makes No Difference in the Court’s Coverage Determination</w:t>
      </w:r>
    </w:p>
    <w:p w14:paraId="6264A6AB" w14:textId="77777777" w:rsidR="009F7F23" w:rsidRDefault="009F7F23">
      <w:pPr>
        <w:widowControl w:val="0"/>
        <w:autoSpaceDE w:val="0"/>
        <w:autoSpaceDN w:val="0"/>
        <w:adjustRightInd w:val="0"/>
        <w:spacing w:after="0" w:line="240" w:lineRule="auto"/>
        <w:jc w:val="both"/>
        <w:rPr>
          <w:rFonts w:ascii="Times New Roman" w:hAnsi="Times New Roman"/>
          <w:i/>
          <w:iCs/>
          <w:color w:val="000000"/>
          <w:sz w:val="26"/>
          <w:szCs w:val="26"/>
        </w:rPr>
      </w:pPr>
      <w:r>
        <w:rPr>
          <w:rFonts w:ascii="Times New Roman" w:hAnsi="Times New Roman"/>
          <w:color w:val="000000"/>
          <w:sz w:val="26"/>
          <w:szCs w:val="26"/>
        </w:rPr>
        <w:t xml:space="preserve">Plaintiff may argue that </w:t>
      </w:r>
      <w:proofErr w:type="spellStart"/>
      <w:r w:rsidR="00281DAB">
        <w:rPr>
          <w:rFonts w:ascii="Times New Roman" w:hAnsi="Times New Roman"/>
          <w:color w:val="000000"/>
          <w:sz w:val="26"/>
          <w:szCs w:val="26"/>
        </w:rPr>
        <w:t>Northern’s</w:t>
      </w:r>
      <w:proofErr w:type="spellEnd"/>
      <w:r>
        <w:rPr>
          <w:rFonts w:ascii="Times New Roman" w:hAnsi="Times New Roman"/>
          <w:color w:val="000000"/>
          <w:sz w:val="26"/>
          <w:szCs w:val="26"/>
        </w:rPr>
        <w:t xml:space="preserve"> Warehouse Coverage is different than the policies at issue in Katrina because unlike many of those policies, the flood exclusion for the Warehouse is not prefaced by an anti-concurrent causation preamble. Typical anti-concurrent language modifies an exclusion with the phrase “[s]</w:t>
      </w:r>
      <w:proofErr w:type="spellStart"/>
      <w:r>
        <w:rPr>
          <w:rFonts w:ascii="Times New Roman" w:hAnsi="Times New Roman"/>
          <w:color w:val="000000"/>
          <w:sz w:val="26"/>
          <w:szCs w:val="26"/>
        </w:rPr>
        <w:t>uch</w:t>
      </w:r>
      <w:proofErr w:type="spellEnd"/>
      <w:r>
        <w:rPr>
          <w:rFonts w:ascii="Times New Roman" w:hAnsi="Times New Roman"/>
          <w:color w:val="000000"/>
          <w:sz w:val="26"/>
          <w:szCs w:val="26"/>
        </w:rPr>
        <w:t xml:space="preserve"> loss is excluded regardless of any other cause or event contributing concurrently or in any sequence to the loss.” </w:t>
      </w:r>
      <w:r>
        <w:rPr>
          <w:rFonts w:ascii="Times New Roman" w:hAnsi="Times New Roman"/>
          <w:i/>
          <w:iCs/>
          <w:color w:val="000000"/>
          <w:sz w:val="26"/>
          <w:szCs w:val="26"/>
        </w:rPr>
        <w:t>Corban</w:t>
      </w:r>
      <w:r>
        <w:rPr>
          <w:rFonts w:ascii="Times New Roman" w:hAnsi="Times New Roman"/>
          <w:color w:val="000000"/>
          <w:sz w:val="26"/>
          <w:szCs w:val="26"/>
        </w:rPr>
        <w:t xml:space="preserve">, 20 So. 2d at 612. Anti-concurrent cause language, if enforced, contracts out of the efficient proximate cause doctrine discussed earlier. But as also discussed earlier, this case is not one where a sequence of discrete events in a chain of causation contributed to a single loss, requiring an efficient proximate cause analysis. Rather, this is a case where a covered cause of loss (rain water entering through a damaged roof) and a non-covered cause (flood) both caused damage. In that case, the proper resolution is allocation between covered and non-covered losses. </w:t>
      </w:r>
      <w:proofErr w:type="spellStart"/>
      <w:r>
        <w:rPr>
          <w:rFonts w:ascii="Times New Roman" w:hAnsi="Times New Roman"/>
          <w:i/>
          <w:iCs/>
          <w:color w:val="000000"/>
          <w:sz w:val="26"/>
          <w:szCs w:val="26"/>
        </w:rPr>
        <w:t>Flomerfelt</w:t>
      </w:r>
      <w:proofErr w:type="spellEnd"/>
      <w:r>
        <w:rPr>
          <w:rFonts w:ascii="Times New Roman" w:hAnsi="Times New Roman"/>
          <w:i/>
          <w:iCs/>
          <w:color w:val="000000"/>
          <w:sz w:val="26"/>
          <w:szCs w:val="26"/>
        </w:rPr>
        <w:t>, supra.</w:t>
      </w:r>
    </w:p>
    <w:p w14:paraId="4A5ADCA4"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1ACF5659"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In </w:t>
      </w:r>
      <w:hyperlink r:id="rId35" w:history="1">
        <w:r>
          <w:rPr>
            <w:rFonts w:ascii="Times New Roman" w:hAnsi="Times New Roman"/>
            <w:i/>
            <w:iCs/>
            <w:color w:val="0000FF"/>
            <w:sz w:val="26"/>
            <w:szCs w:val="26"/>
            <w:u w:val="single"/>
          </w:rPr>
          <w:t>Kish v. Ins. Co. of N. Am.</w:t>
        </w:r>
        <w:r>
          <w:rPr>
            <w:rFonts w:ascii="Times New Roman" w:hAnsi="Times New Roman"/>
            <w:color w:val="0000FF"/>
            <w:sz w:val="26"/>
            <w:szCs w:val="26"/>
            <w:u w:val="single"/>
          </w:rPr>
          <w:t>, 883 P.2d 308 (Wash. 1994)</w:t>
        </w:r>
      </w:hyperlink>
      <w:r>
        <w:rPr>
          <w:rFonts w:ascii="Times New Roman" w:hAnsi="Times New Roman"/>
          <w:color w:val="000000"/>
          <w:sz w:val="26"/>
          <w:szCs w:val="26"/>
        </w:rPr>
        <w:t xml:space="preserve">, later relied upon in the Hurricane Katrina levee breach cases, the plaintiffs’ homes were damaged by floodwaters that overtopped dikes due to heavy rainfall. </w:t>
      </w:r>
      <w:hyperlink r:id="rId36" w:anchor="co_pp_sp_661_309" w:history="1">
        <w:r>
          <w:rPr>
            <w:rFonts w:ascii="Times New Roman" w:hAnsi="Times New Roman"/>
            <w:i/>
            <w:iCs/>
            <w:color w:val="0000FF"/>
            <w:sz w:val="26"/>
            <w:szCs w:val="26"/>
            <w:u w:val="single"/>
          </w:rPr>
          <w:t>Id.</w:t>
        </w:r>
        <w:r>
          <w:rPr>
            <w:rFonts w:ascii="Times New Roman" w:hAnsi="Times New Roman"/>
            <w:color w:val="0000FF"/>
            <w:sz w:val="26"/>
            <w:szCs w:val="26"/>
            <w:u w:val="single"/>
          </w:rPr>
          <w:t xml:space="preserve"> at 309</w:t>
        </w:r>
      </w:hyperlink>
      <w:r>
        <w:rPr>
          <w:rFonts w:ascii="Times New Roman" w:hAnsi="Times New Roman"/>
          <w:color w:val="000000"/>
          <w:sz w:val="26"/>
          <w:szCs w:val="26"/>
        </w:rPr>
        <w:t xml:space="preserve">. The insurance policies excluded loss caused by flood, without an anti-concurrent causation clause. </w:t>
      </w:r>
      <w:hyperlink r:id="rId37" w:anchor="co_pp_sp_661_309" w:history="1">
        <w:r>
          <w:rPr>
            <w:rFonts w:ascii="Times New Roman" w:hAnsi="Times New Roman"/>
            <w:i/>
            <w:iCs/>
            <w:color w:val="0000FF"/>
            <w:sz w:val="26"/>
            <w:szCs w:val="26"/>
            <w:u w:val="single"/>
          </w:rPr>
          <w:t>Id.</w:t>
        </w:r>
        <w:r>
          <w:rPr>
            <w:rFonts w:ascii="Times New Roman" w:hAnsi="Times New Roman"/>
            <w:color w:val="0000FF"/>
            <w:sz w:val="26"/>
            <w:szCs w:val="26"/>
            <w:u w:val="single"/>
          </w:rPr>
          <w:t xml:space="preserve"> at 309-10</w:t>
        </w:r>
      </w:hyperlink>
      <w:r>
        <w:rPr>
          <w:rFonts w:ascii="Times New Roman" w:hAnsi="Times New Roman"/>
          <w:color w:val="000000"/>
          <w:sz w:val="26"/>
          <w:szCs w:val="26"/>
        </w:rPr>
        <w:t xml:space="preserve">. A jury found that rainfall was the efficient proximate cause of the losses. </w:t>
      </w:r>
      <w:hyperlink r:id="rId38" w:anchor="co_pp_sp_661_311" w:history="1">
        <w:r>
          <w:rPr>
            <w:rFonts w:ascii="Times New Roman" w:hAnsi="Times New Roman"/>
            <w:i/>
            <w:iCs/>
            <w:color w:val="0000FF"/>
            <w:sz w:val="26"/>
            <w:szCs w:val="26"/>
            <w:u w:val="single"/>
          </w:rPr>
          <w:t>Id.</w:t>
        </w:r>
        <w:r>
          <w:rPr>
            <w:rFonts w:ascii="Times New Roman" w:hAnsi="Times New Roman"/>
            <w:color w:val="0000FF"/>
            <w:sz w:val="26"/>
            <w:szCs w:val="26"/>
            <w:u w:val="single"/>
          </w:rPr>
          <w:t xml:space="preserve"> at 311</w:t>
        </w:r>
      </w:hyperlink>
      <w:r>
        <w:rPr>
          <w:rFonts w:ascii="Times New Roman" w:hAnsi="Times New Roman"/>
          <w:color w:val="000000"/>
          <w:sz w:val="26"/>
          <w:szCs w:val="26"/>
        </w:rPr>
        <w:t>. The Washington Supreme Court reversed and found in favor of the insurers. The court explained that the efficient proximate cause doctrine was inapplicable because “[r]</w:t>
      </w:r>
      <w:proofErr w:type="spellStart"/>
      <w:r>
        <w:rPr>
          <w:rFonts w:ascii="Times New Roman" w:hAnsi="Times New Roman"/>
          <w:color w:val="000000"/>
          <w:sz w:val="26"/>
          <w:szCs w:val="26"/>
        </w:rPr>
        <w:t>ain</w:t>
      </w:r>
      <w:proofErr w:type="spellEnd"/>
      <w:r>
        <w:rPr>
          <w:rFonts w:ascii="Times New Roman" w:hAnsi="Times New Roman"/>
          <w:color w:val="000000"/>
          <w:sz w:val="26"/>
          <w:szCs w:val="26"/>
        </w:rPr>
        <w:t xml:space="preserve"> is a well-recognized and common part of a flood,” and “rain is merely another characterization of flood in this case.” </w:t>
      </w:r>
      <w:hyperlink r:id="rId39" w:anchor="co_pp_sp_661_312" w:history="1">
        <w:r>
          <w:rPr>
            <w:rFonts w:ascii="Times New Roman" w:hAnsi="Times New Roman"/>
            <w:i/>
            <w:iCs/>
            <w:color w:val="0000FF"/>
            <w:sz w:val="26"/>
            <w:szCs w:val="26"/>
            <w:u w:val="single"/>
          </w:rPr>
          <w:t>Id.</w:t>
        </w:r>
        <w:r>
          <w:rPr>
            <w:rFonts w:ascii="Times New Roman" w:hAnsi="Times New Roman"/>
            <w:color w:val="0000FF"/>
            <w:sz w:val="26"/>
            <w:szCs w:val="26"/>
            <w:u w:val="single"/>
          </w:rPr>
          <w:t xml:space="preserve"> at 312</w:t>
        </w:r>
      </w:hyperlink>
      <w:r>
        <w:rPr>
          <w:rFonts w:ascii="Times New Roman" w:hAnsi="Times New Roman"/>
          <w:color w:val="000000"/>
          <w:sz w:val="26"/>
          <w:szCs w:val="26"/>
        </w:rPr>
        <w:t xml:space="preserve">. The court further explained that “[h]ere we have only one cause of the damage—rain-induced flood—and that peril is clearly and reasonably excluded under the Plaintiffs’ policies.” </w:t>
      </w:r>
      <w:r>
        <w:rPr>
          <w:rFonts w:ascii="Times New Roman" w:hAnsi="Times New Roman"/>
          <w:i/>
          <w:iCs/>
          <w:color w:val="000000"/>
          <w:sz w:val="26"/>
          <w:szCs w:val="26"/>
        </w:rPr>
        <w:t>Id.</w:t>
      </w:r>
      <w:r>
        <w:rPr>
          <w:rFonts w:ascii="Times New Roman" w:hAnsi="Times New Roman"/>
          <w:color w:val="000000"/>
          <w:sz w:val="26"/>
          <w:szCs w:val="26"/>
        </w:rPr>
        <w:t xml:space="preserve"> Similarly in this case, flooding at the Warehouse was induced by wind. A wind-induced flood is still a flood. Plaintiff cannot evade the flood exclusion </w:t>
      </w:r>
      <w:r>
        <w:rPr>
          <w:rFonts w:ascii="Times New Roman" w:hAnsi="Times New Roman"/>
          <w:color w:val="000000"/>
          <w:sz w:val="26"/>
          <w:szCs w:val="26"/>
        </w:rPr>
        <w:lastRenderedPageBreak/>
        <w:t>by claiming otherwise.</w:t>
      </w:r>
    </w:p>
    <w:p w14:paraId="1F3054D9"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1C33CB5F"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The Fifth Circuit cited </w:t>
      </w:r>
      <w:r>
        <w:rPr>
          <w:rFonts w:ascii="Times New Roman" w:hAnsi="Times New Roman"/>
          <w:i/>
          <w:iCs/>
          <w:color w:val="000000"/>
          <w:sz w:val="26"/>
          <w:szCs w:val="26"/>
        </w:rPr>
        <w:t>Kish</w:t>
      </w:r>
      <w:r>
        <w:rPr>
          <w:rFonts w:ascii="Times New Roman" w:hAnsi="Times New Roman"/>
          <w:color w:val="000000"/>
          <w:sz w:val="26"/>
          <w:szCs w:val="26"/>
        </w:rPr>
        <w:t xml:space="preserve"> in a well-known Hurricane Katrina decision, </w:t>
      </w:r>
      <w:hyperlink r:id="rId40" w:anchor="co_pp_sp_506_201" w:history="1">
        <w:r>
          <w:rPr>
            <w:rFonts w:ascii="Times New Roman" w:hAnsi="Times New Roman"/>
            <w:i/>
            <w:iCs/>
            <w:color w:val="0000FF"/>
            <w:sz w:val="26"/>
            <w:szCs w:val="26"/>
            <w:u w:val="single"/>
          </w:rPr>
          <w:t>In re Katrina Canal Breaches Litig.</w:t>
        </w:r>
        <w:r>
          <w:rPr>
            <w:rFonts w:ascii="Times New Roman" w:hAnsi="Times New Roman"/>
            <w:color w:val="0000FF"/>
            <w:sz w:val="26"/>
            <w:szCs w:val="26"/>
            <w:u w:val="single"/>
          </w:rPr>
          <w:t>, 495 F.3d 191, 201 (5th Cir. 2007.)</w:t>
        </w:r>
      </w:hyperlink>
      <w:r>
        <w:rPr>
          <w:rFonts w:ascii="Times New Roman" w:hAnsi="Times New Roman"/>
          <w:color w:val="000000"/>
          <w:sz w:val="26"/>
          <w:szCs w:val="26"/>
        </w:rPr>
        <w:t xml:space="preserve"> In that case, the plaintiffs argued that negligent design, construction or maintenance of the levees in the New Orleans area was the efficient proximate cause of their losses, and that the insurers’ anti-concurrent causation clauses were unenforceable. Relying in part on </w:t>
      </w:r>
      <w:r>
        <w:rPr>
          <w:rFonts w:ascii="Times New Roman" w:hAnsi="Times New Roman"/>
          <w:i/>
          <w:iCs/>
          <w:color w:val="000000"/>
          <w:sz w:val="26"/>
          <w:szCs w:val="26"/>
        </w:rPr>
        <w:t>Kish</w:t>
      </w:r>
      <w:r>
        <w:rPr>
          <w:rFonts w:ascii="Times New Roman" w:hAnsi="Times New Roman"/>
          <w:color w:val="000000"/>
          <w:sz w:val="26"/>
          <w:szCs w:val="26"/>
        </w:rPr>
        <w:t xml:space="preserve">, the Fifth Circuit explained that it was unnecessary to address the efficient proximate cause doctrine. This was because, as in </w:t>
      </w:r>
      <w:r>
        <w:rPr>
          <w:rFonts w:ascii="Times New Roman" w:hAnsi="Times New Roman"/>
          <w:i/>
          <w:iCs/>
          <w:color w:val="000000"/>
          <w:sz w:val="26"/>
          <w:szCs w:val="26"/>
        </w:rPr>
        <w:t>Kish</w:t>
      </w:r>
      <w:r>
        <w:rPr>
          <w:rFonts w:ascii="Times New Roman" w:hAnsi="Times New Roman"/>
          <w:color w:val="000000"/>
          <w:sz w:val="26"/>
          <w:szCs w:val="26"/>
        </w:rPr>
        <w:t xml:space="preserve">, “[w]e similarly reject any attempt on the plaintiffs’ part to avoid the operation of the flood exclusion by recharacterizing the flood as negligence; the sole cause of the losses for which they seek coverage in this litigation, flood, was excluded from coverage regardless of what factors contributed to its development.” </w:t>
      </w:r>
      <w:hyperlink r:id="rId41" w:anchor="co_pp_sp_506_223" w:history="1">
        <w:r>
          <w:rPr>
            <w:rFonts w:ascii="Times New Roman" w:hAnsi="Times New Roman"/>
            <w:i/>
            <w:iCs/>
            <w:color w:val="0000FF"/>
            <w:sz w:val="26"/>
            <w:szCs w:val="26"/>
            <w:u w:val="single"/>
          </w:rPr>
          <w:t>Id.</w:t>
        </w:r>
        <w:r>
          <w:rPr>
            <w:rFonts w:ascii="Times New Roman" w:hAnsi="Times New Roman"/>
            <w:color w:val="0000FF"/>
            <w:sz w:val="26"/>
            <w:szCs w:val="26"/>
            <w:u w:val="single"/>
          </w:rPr>
          <w:t xml:space="preserve"> at 223</w:t>
        </w:r>
      </w:hyperlink>
      <w:r>
        <w:rPr>
          <w:rFonts w:ascii="Times New Roman" w:hAnsi="Times New Roman"/>
          <w:color w:val="000000"/>
          <w:sz w:val="26"/>
          <w:szCs w:val="26"/>
        </w:rPr>
        <w:t>.</w:t>
      </w:r>
    </w:p>
    <w:p w14:paraId="0A0DBA61"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4BB3DDED"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Every time a flood occurs, it was caused by some other event, whether it be a hurricane, or heavy rains, or melting snow, or a burst levee. If plaintiff’s position were correct, then every time a flood occurs, Plaintiff could avoid application of the flood exclusion by pointing to whatever caused the flood. Such an interpretation is unsound, defeats the plain intent of the Policy, and would render the flood exclusion meaningless. </w:t>
      </w:r>
      <w:r>
        <w:rPr>
          <w:rFonts w:ascii="Times New Roman" w:hAnsi="Times New Roman"/>
          <w:i/>
          <w:iCs/>
          <w:color w:val="000000"/>
          <w:sz w:val="26"/>
          <w:szCs w:val="26"/>
        </w:rPr>
        <w:t xml:space="preserve">See </w:t>
      </w:r>
      <w:hyperlink r:id="rId42" w:anchor="co_pp_sp_162_1170" w:history="1">
        <w:r>
          <w:rPr>
            <w:rFonts w:ascii="Times New Roman" w:hAnsi="Times New Roman"/>
            <w:i/>
            <w:iCs/>
            <w:color w:val="0000FF"/>
            <w:sz w:val="26"/>
            <w:szCs w:val="26"/>
            <w:u w:val="single"/>
          </w:rPr>
          <w:t>Hardy ex rel. Dowdell v. Abdul-</w:t>
        </w:r>
        <w:proofErr w:type="spellStart"/>
        <w:r>
          <w:rPr>
            <w:rFonts w:ascii="Times New Roman" w:hAnsi="Times New Roman"/>
            <w:i/>
            <w:iCs/>
            <w:color w:val="0000FF"/>
            <w:sz w:val="26"/>
            <w:szCs w:val="26"/>
            <w:u w:val="single"/>
          </w:rPr>
          <w:t>Matin</w:t>
        </w:r>
        <w:proofErr w:type="spellEnd"/>
        <w:r>
          <w:rPr>
            <w:rFonts w:ascii="Times New Roman" w:hAnsi="Times New Roman"/>
            <w:color w:val="0000FF"/>
            <w:sz w:val="26"/>
            <w:szCs w:val="26"/>
            <w:u w:val="single"/>
          </w:rPr>
          <w:t>, 965 A.2d 1165, 1170 (N.J. 2009)</w:t>
        </w:r>
      </w:hyperlink>
      <w:r>
        <w:rPr>
          <w:rFonts w:ascii="Times New Roman" w:hAnsi="Times New Roman"/>
          <w:color w:val="000000"/>
          <w:sz w:val="26"/>
          <w:szCs w:val="26"/>
        </w:rPr>
        <w:t xml:space="preserve"> (refusing to construe insurance policy exclusion in manner that would render terms meaningless.)</w:t>
      </w:r>
    </w:p>
    <w:p w14:paraId="4E5599E6"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44FDED5D" w14:textId="77777777" w:rsidR="009F7F23" w:rsidRDefault="009F7F23">
      <w:pPr>
        <w:widowControl w:val="0"/>
        <w:autoSpaceDE w:val="0"/>
        <w:autoSpaceDN w:val="0"/>
        <w:adjustRightInd w:val="0"/>
        <w:spacing w:before="520" w:after="260" w:line="240" w:lineRule="auto"/>
        <w:jc w:val="center"/>
        <w:rPr>
          <w:rFonts w:ascii="Times New Roman" w:hAnsi="Times New Roman"/>
          <w:b/>
          <w:bCs/>
          <w:i/>
          <w:iCs/>
          <w:color w:val="000000"/>
          <w:sz w:val="26"/>
          <w:szCs w:val="26"/>
        </w:rPr>
      </w:pPr>
      <w:r>
        <w:rPr>
          <w:rFonts w:ascii="Times New Roman" w:hAnsi="Times New Roman"/>
          <w:b/>
          <w:bCs/>
          <w:i/>
          <w:iCs/>
          <w:color w:val="000000"/>
          <w:sz w:val="26"/>
          <w:szCs w:val="26"/>
        </w:rPr>
        <w:t>CONCLUSION</w:t>
      </w:r>
    </w:p>
    <w:p w14:paraId="5C87D656" w14:textId="77777777" w:rsidR="009F7F23" w:rsidRDefault="00281DAB">
      <w:pPr>
        <w:widowControl w:val="0"/>
        <w:autoSpaceDE w:val="0"/>
        <w:autoSpaceDN w:val="0"/>
        <w:adjustRightInd w:val="0"/>
        <w:spacing w:after="0" w:line="240" w:lineRule="auto"/>
        <w:jc w:val="both"/>
        <w:rPr>
          <w:rFonts w:ascii="Times New Roman" w:hAnsi="Times New Roman"/>
          <w:color w:val="000000"/>
          <w:sz w:val="26"/>
          <w:szCs w:val="26"/>
        </w:rPr>
      </w:pPr>
      <w:proofErr w:type="spellStart"/>
      <w:r>
        <w:rPr>
          <w:rFonts w:ascii="Times New Roman" w:hAnsi="Times New Roman"/>
          <w:color w:val="000000"/>
          <w:sz w:val="26"/>
          <w:szCs w:val="26"/>
        </w:rPr>
        <w:t>Northern’s</w:t>
      </w:r>
      <w:proofErr w:type="spellEnd"/>
      <w:r w:rsidR="009F7F23">
        <w:rPr>
          <w:rFonts w:ascii="Times New Roman" w:hAnsi="Times New Roman"/>
          <w:color w:val="000000"/>
          <w:sz w:val="26"/>
          <w:szCs w:val="26"/>
        </w:rPr>
        <w:t xml:space="preserve"> position is that a flood is a flood, whether induced by wind or not. What happened on October 29, 2012, when the Warehouse was inundated by river water, was a flood. Nor must the Court engage in an efficient proximate cause analysis. The </w:t>
      </w:r>
      <w:proofErr w:type="spellStart"/>
      <w:r>
        <w:rPr>
          <w:rFonts w:ascii="Times New Roman" w:hAnsi="Times New Roman"/>
          <w:color w:val="000000"/>
          <w:sz w:val="26"/>
          <w:szCs w:val="26"/>
        </w:rPr>
        <w:t>Northern’s</w:t>
      </w:r>
      <w:proofErr w:type="spellEnd"/>
      <w:r w:rsidR="009F7F23">
        <w:rPr>
          <w:rFonts w:ascii="Times New Roman" w:hAnsi="Times New Roman"/>
          <w:color w:val="000000"/>
          <w:sz w:val="26"/>
          <w:szCs w:val="26"/>
        </w:rPr>
        <w:t xml:space="preserve"> policy requires no exegesis: it says, simply, that the peril of flood is excluded at the Warehouse. </w:t>
      </w:r>
      <w:r>
        <w:rPr>
          <w:rFonts w:ascii="Times New Roman" w:hAnsi="Times New Roman"/>
          <w:color w:val="000000"/>
          <w:sz w:val="26"/>
          <w:szCs w:val="26"/>
        </w:rPr>
        <w:t>Northern</w:t>
      </w:r>
      <w:r w:rsidR="009F7F23">
        <w:rPr>
          <w:rFonts w:ascii="Times New Roman" w:hAnsi="Times New Roman"/>
          <w:color w:val="000000"/>
          <w:sz w:val="26"/>
          <w:szCs w:val="26"/>
        </w:rPr>
        <w:t xml:space="preserve"> respectfully requests that the Court grant its motion for partial summary judgment, and hold that the Policy’s flood exclusion applies in this case to bar coverage for inventory items damaged solely by the overflow of river water into the Warehouse.</w:t>
      </w:r>
    </w:p>
    <w:p w14:paraId="62367B01"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5F19C66E" w14:textId="77777777" w:rsidR="009F7F23" w:rsidRDefault="009F7F23">
      <w:pPr>
        <w:widowControl w:val="0"/>
        <w:autoSpaceDE w:val="0"/>
        <w:autoSpaceDN w:val="0"/>
        <w:adjustRightInd w:val="0"/>
        <w:spacing w:after="0" w:line="240" w:lineRule="auto"/>
        <w:jc w:val="both"/>
        <w:rPr>
          <w:rFonts w:ascii="Times New Roman" w:hAnsi="Times New Roman"/>
          <w:b/>
          <w:bCs/>
          <w:color w:val="000000"/>
          <w:sz w:val="26"/>
          <w:szCs w:val="26"/>
        </w:rPr>
      </w:pPr>
      <w:r>
        <w:rPr>
          <w:rFonts w:ascii="Times New Roman" w:hAnsi="Times New Roman"/>
          <w:b/>
          <w:bCs/>
          <w:color w:val="000000"/>
          <w:sz w:val="26"/>
          <w:szCs w:val="26"/>
        </w:rPr>
        <w:t>DEFENDANT,</w:t>
      </w:r>
    </w:p>
    <w:p w14:paraId="7ADE4778"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r>
        <w:rPr>
          <w:rFonts w:ascii="Times New Roman" w:hAnsi="Times New Roman"/>
          <w:color w:val="000000"/>
          <w:sz w:val="26"/>
          <w:szCs w:val="26"/>
        </w:rPr>
        <w:t> </w:t>
      </w:r>
    </w:p>
    <w:p w14:paraId="3C68BACF" w14:textId="77777777" w:rsidR="009F7F23" w:rsidRDefault="00281DAB">
      <w:pPr>
        <w:widowControl w:val="0"/>
        <w:autoSpaceDE w:val="0"/>
        <w:autoSpaceDN w:val="0"/>
        <w:adjustRightInd w:val="0"/>
        <w:spacing w:after="0" w:line="240" w:lineRule="auto"/>
        <w:jc w:val="both"/>
        <w:rPr>
          <w:rFonts w:ascii="Times New Roman" w:hAnsi="Times New Roman"/>
          <w:b/>
          <w:bCs/>
          <w:color w:val="000000"/>
          <w:sz w:val="26"/>
          <w:szCs w:val="26"/>
        </w:rPr>
      </w:pPr>
      <w:r>
        <w:rPr>
          <w:rFonts w:ascii="Times New Roman" w:hAnsi="Times New Roman"/>
          <w:b/>
          <w:bCs/>
          <w:color w:val="000000"/>
          <w:sz w:val="26"/>
          <w:szCs w:val="26"/>
        </w:rPr>
        <w:t>NORTHERN</w:t>
      </w:r>
      <w:r w:rsidR="009F7F23">
        <w:rPr>
          <w:rFonts w:ascii="Times New Roman" w:hAnsi="Times New Roman"/>
          <w:b/>
          <w:bCs/>
          <w:color w:val="000000"/>
          <w:sz w:val="26"/>
          <w:szCs w:val="26"/>
        </w:rPr>
        <w:t xml:space="preserve"> </w:t>
      </w:r>
      <w:r>
        <w:rPr>
          <w:rFonts w:ascii="Times New Roman" w:hAnsi="Times New Roman"/>
          <w:b/>
          <w:bCs/>
          <w:color w:val="000000"/>
          <w:sz w:val="26"/>
          <w:szCs w:val="26"/>
        </w:rPr>
        <w:t>INSURANCE COMPANY</w:t>
      </w:r>
    </w:p>
    <w:p w14:paraId="66640AE6" w14:textId="77777777" w:rsidR="009F7F23" w:rsidRDefault="009F7F23">
      <w:pPr>
        <w:widowControl w:val="0"/>
        <w:autoSpaceDE w:val="0"/>
        <w:autoSpaceDN w:val="0"/>
        <w:adjustRightInd w:val="0"/>
        <w:spacing w:after="0" w:line="240" w:lineRule="auto"/>
        <w:jc w:val="both"/>
        <w:rPr>
          <w:rFonts w:ascii="Times New Roman" w:hAnsi="Times New Roman"/>
          <w:color w:val="000000"/>
          <w:sz w:val="26"/>
          <w:szCs w:val="26"/>
        </w:rPr>
      </w:pPr>
      <w:bookmarkStart w:id="5" w:name="_GoBack"/>
      <w:bookmarkEnd w:id="5"/>
    </w:p>
    <w:p w14:paraId="270303CE" w14:textId="77777777" w:rsidR="009F7F23" w:rsidRDefault="009F7F23">
      <w:pPr>
        <w:widowControl w:val="0"/>
        <w:autoSpaceDE w:val="0"/>
        <w:autoSpaceDN w:val="0"/>
        <w:adjustRightInd w:val="0"/>
        <w:spacing w:after="0" w:line="240" w:lineRule="auto"/>
        <w:rPr>
          <w:rFonts w:ascii="Arial" w:hAnsi="Arial" w:cs="Arial"/>
          <w:sz w:val="24"/>
          <w:szCs w:val="24"/>
        </w:rPr>
      </w:pPr>
    </w:p>
    <w:sectPr w:rsidR="009F7F23">
      <w:headerReference w:type="default" r:id="rId43"/>
      <w:footerReference w:type="default" r:id="rId44"/>
      <w:type w:val="continuous"/>
      <w:pgSz w:w="12240" w:h="15840"/>
      <w:pgMar w:top="1080" w:right="1080" w:bottom="1080"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183F03" w14:textId="77777777" w:rsidR="009F7F23" w:rsidRDefault="009F7F23">
      <w:pPr>
        <w:spacing w:after="0" w:line="240" w:lineRule="auto"/>
      </w:pPr>
      <w:r>
        <w:separator/>
      </w:r>
    </w:p>
  </w:endnote>
  <w:endnote w:type="continuationSeparator" w:id="0">
    <w:p w14:paraId="131F0E90" w14:textId="77777777" w:rsidR="009F7F23" w:rsidRDefault="009F7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B9A13" w14:textId="77777777" w:rsidR="009F7F23" w:rsidRDefault="009F7F23">
    <w:pPr>
      <w:widowControl w:val="0"/>
      <w:autoSpaceDE w:val="0"/>
      <w:autoSpaceDN w:val="0"/>
      <w:adjustRightInd w:val="0"/>
      <w:spacing w:after="0" w:line="240" w:lineRule="auto"/>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6ECE3C" w14:textId="77777777" w:rsidR="009F7F23" w:rsidRDefault="009F7F23">
      <w:pPr>
        <w:spacing w:after="0" w:line="240" w:lineRule="auto"/>
      </w:pPr>
      <w:r>
        <w:separator/>
      </w:r>
    </w:p>
  </w:footnote>
  <w:footnote w:type="continuationSeparator" w:id="0">
    <w:p w14:paraId="6C62E4F6" w14:textId="77777777" w:rsidR="009F7F23" w:rsidRDefault="009F7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67F9F9" w14:textId="77777777" w:rsidR="009F7F23" w:rsidRDefault="009F7F23">
    <w:pPr>
      <w:widowControl w:val="0"/>
      <w:autoSpaceDE w:val="0"/>
      <w:autoSpaceDN w:val="0"/>
      <w:adjustRightInd w:val="0"/>
      <w:spacing w:after="0" w:line="240" w:lineRule="auto"/>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571"/>
    <w:rsid w:val="000347B3"/>
    <w:rsid w:val="00281DAB"/>
    <w:rsid w:val="00776EE5"/>
    <w:rsid w:val="009F7F23"/>
    <w:rsid w:val="00CB4FE7"/>
    <w:rsid w:val="00D47571"/>
    <w:rsid w:val="00F50855"/>
    <w:rsid w:val="00FA4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1FF45D"/>
  <w14:defaultImageDpi w14:val="0"/>
  <w15:docId w15:val="{7451E974-181F-4328-A41D-4147FD10B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7571"/>
    <w:pPr>
      <w:tabs>
        <w:tab w:val="center" w:pos="4680"/>
        <w:tab w:val="right" w:pos="9360"/>
      </w:tabs>
    </w:pPr>
  </w:style>
  <w:style w:type="character" w:customStyle="1" w:styleId="HeaderChar">
    <w:name w:val="Header Char"/>
    <w:basedOn w:val="DefaultParagraphFont"/>
    <w:link w:val="Header"/>
    <w:uiPriority w:val="99"/>
    <w:locked/>
    <w:rsid w:val="00D47571"/>
    <w:rPr>
      <w:rFonts w:cs="Times New Roman"/>
    </w:rPr>
  </w:style>
  <w:style w:type="paragraph" w:styleId="Footer">
    <w:name w:val="footer"/>
    <w:basedOn w:val="Normal"/>
    <w:link w:val="FooterChar"/>
    <w:uiPriority w:val="99"/>
    <w:unhideWhenUsed/>
    <w:rsid w:val="00D47571"/>
    <w:pPr>
      <w:tabs>
        <w:tab w:val="center" w:pos="4680"/>
        <w:tab w:val="right" w:pos="9360"/>
      </w:tabs>
    </w:pPr>
  </w:style>
  <w:style w:type="character" w:customStyle="1" w:styleId="FooterChar">
    <w:name w:val="Footer Char"/>
    <w:basedOn w:val="DefaultParagraphFont"/>
    <w:link w:val="Footer"/>
    <w:uiPriority w:val="99"/>
    <w:locked/>
    <w:rsid w:val="00D4757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estlaw.com/Link/Document/FullText?findType=Y&amp;serNum=2001555533&amp;pubNum=0000162&amp;originatingDoc=I8f4489009f5811e5b10893af99153f48&amp;refType=RP&amp;originationContext=document&amp;vr=3.0&amp;rs=cblt1.0&amp;transitionType=DocumentItem&amp;contextData=(sc.UserEnteredCitation)" TargetMode="External"/><Relationship Id="rId18" Type="http://schemas.openxmlformats.org/officeDocument/2006/relationships/hyperlink" Target="http://www.westlaw.com/Link/Document/FullText?findType=Y&amp;serNum=2022474687&amp;pubNum=0000162&amp;originatingDoc=I8f4489009f5811e5b10893af99153f48&amp;refType=RP&amp;fi=co_pp_sp_162_1000&amp;originationContext=document&amp;vr=3.0&amp;rs=cblt1.0&amp;transitionType=DocumentItem&amp;contextData=(sc.UserEnteredCitation)" TargetMode="External"/><Relationship Id="rId26" Type="http://schemas.openxmlformats.org/officeDocument/2006/relationships/hyperlink" Target="http://www.westlaw.com/Link/Document/FullText?findType=Y&amp;serNum=1965106840&amp;pubNum=0000162&amp;originatingDoc=I8f4489009f5811e5b10893af99153f48&amp;refType=RP&amp;fi=co_pp_sp_162_175&amp;originationContext=document&amp;vr=3.0&amp;rs=cblt1.0&amp;transitionType=DocumentItem&amp;contextData=(sc.UserEnteredCitation)" TargetMode="External"/><Relationship Id="rId39" Type="http://schemas.openxmlformats.org/officeDocument/2006/relationships/hyperlink" Target="http://www.westlaw.com/Link/Document/FullText?findType=Y&amp;serNum=1994219932&amp;pubNum=0000661&amp;originatingDoc=I8f4489009f5811e5b10893af99153f48&amp;refType=RP&amp;fi=co_pp_sp_661_312&amp;originationContext=document&amp;vr=3.0&amp;rs=cblt1.0&amp;transitionType=DocumentItem&amp;contextData=(sc.UserEnteredCitation)" TargetMode="External"/><Relationship Id="rId21" Type="http://schemas.openxmlformats.org/officeDocument/2006/relationships/hyperlink" Target="http://www.westlaw.com/Link/Document/FullText?findType=Y&amp;serNum=2005413961&amp;pubNum=0000162&amp;originatingDoc=I8f4489009f5811e5b10893af99153f48&amp;refType=RP&amp;fi=co_pp_sp_162_700&amp;originationContext=document&amp;vr=3.0&amp;rs=cblt1.0&amp;transitionType=DocumentItem&amp;contextData=(sc.UserEnteredCitation)" TargetMode="External"/><Relationship Id="rId34" Type="http://schemas.openxmlformats.org/officeDocument/2006/relationships/hyperlink" Target="http://www.westlaw.com/Link/Document/FullText?findType=Y&amp;serNum=2022474687&amp;pubNum=0000162&amp;originatingDoc=I8f4489009f5811e5b10893af99153f48&amp;refType=RP&amp;fi=co_pp_sp_162_1000&amp;originationContext=document&amp;vr=3.0&amp;rs=cblt1.0&amp;transitionType=DocumentItem&amp;contextData=(sc.UserEnteredCitation)" TargetMode="External"/><Relationship Id="rId42" Type="http://schemas.openxmlformats.org/officeDocument/2006/relationships/hyperlink" Target="http://www.westlaw.com/Link/Document/FullText?findType=Y&amp;serNum=2018269096&amp;pubNum=0000162&amp;originatingDoc=I8f4489009f5811e5b10893af99153f48&amp;refType=RP&amp;fi=co_pp_sp_162_1170&amp;originationContext=document&amp;vr=3.0&amp;rs=cblt1.0&amp;transitionType=DocumentItem&amp;contextData=(sc.UserEnteredCitation)"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www.westlaw.com/Link/Document/FullText?findType=Y&amp;serNum=2015731748&amp;pubNum=0000735&amp;originatingDoc=I8f4489009f5811e5b10893af99153f48&amp;refType=RP&amp;fi=co_pp_sp_735_194&amp;originationContext=document&amp;vr=3.0&amp;rs=cblt1.0&amp;transitionType=DocumentItem&amp;contextData=(sc.UserEnteredCitation)" TargetMode="External"/><Relationship Id="rId29" Type="http://schemas.openxmlformats.org/officeDocument/2006/relationships/hyperlink" Target="http://www.westlaw.com/Link/Document/FullText?findType=Y&amp;serNum=2019980909&amp;pubNum=0003926&amp;originatingDoc=I8f4489009f5811e5b10893af99153f48&amp;refType=RP&amp;originationContext=document&amp;vr=3.0&amp;rs=cblt1.0&amp;transitionType=DocumentItem&amp;contextData=(sc.UserEnteredCitati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estlaw.com/Link/Document/FullText?findType=Y&amp;serNum=2033860824&amp;pubNum=0000999&amp;originatingDoc=I8f4489009f5811e5b10893af99153f48&amp;refType=RP&amp;originationContext=document&amp;vr=3.0&amp;rs=cblt1.0&amp;transitionType=DocumentItem&amp;contextData=(sc.UserEnteredCitation)" TargetMode="External"/><Relationship Id="rId24" Type="http://schemas.openxmlformats.org/officeDocument/2006/relationships/hyperlink" Target="http://www.westlaw.com/Link/Document/FullText?findType=Y&amp;serNum=1955111212&amp;pubNum=0000162&amp;originatingDoc=I8f4489009f5811e5b10893af99153f48&amp;refType=RP&amp;fi=co_pp_sp_162_55&amp;originationContext=document&amp;vr=3.0&amp;rs=cblt1.0&amp;transitionType=DocumentItem&amp;contextData=(sc.UserEnteredCitation)" TargetMode="External"/><Relationship Id="rId32" Type="http://schemas.openxmlformats.org/officeDocument/2006/relationships/hyperlink" Target="http://www.westlaw.com/Link/Document/FullText?findType=Y&amp;serNum=2013083363&amp;pubNum=0000506&amp;originatingDoc=I8f4489009f5811e5b10893af99153f48&amp;refType=RP&amp;fi=co_pp_sp_506_437&amp;originationContext=document&amp;vr=3.0&amp;rs=cblt1.0&amp;transitionType=DocumentItem&amp;contextData=(sc.UserEnteredCitation)" TargetMode="External"/><Relationship Id="rId37" Type="http://schemas.openxmlformats.org/officeDocument/2006/relationships/hyperlink" Target="http://www.westlaw.com/Link/Document/FullText?findType=Y&amp;serNum=1994219932&amp;pubNum=0000661&amp;originatingDoc=I8f4489009f5811e5b10893af99153f48&amp;refType=RP&amp;fi=co_pp_sp_661_309&amp;originationContext=document&amp;vr=3.0&amp;rs=cblt1.0&amp;transitionType=DocumentItem&amp;contextData=(sc.UserEnteredCitation)" TargetMode="External"/><Relationship Id="rId40" Type="http://schemas.openxmlformats.org/officeDocument/2006/relationships/hyperlink" Target="http://www.westlaw.com/Link/Document/FullText?findType=Y&amp;serNum=2012832002&amp;pubNum=0000506&amp;originatingDoc=I8f4489009f5811e5b10893af99153f48&amp;refType=RP&amp;fi=co_pp_sp_506_201&amp;originationContext=document&amp;vr=3.0&amp;rs=cblt1.0&amp;transitionType=DocumentItem&amp;contextData=(sc.UserEnteredCitation)" TargetMode="Externa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westlaw.com/Link/Document/FullText?findType=Y&amp;serNum=2021825773&amp;pubNum=0000162&amp;originatingDoc=I8f4489009f5811e5b10893af99153f48&amp;refType=RP&amp;fi=co_pp_sp_162_807&amp;originationContext=document&amp;vr=3.0&amp;rs=cblt1.0&amp;transitionType=DocumentItem&amp;contextData=(sc.UserEnteredCitation)" TargetMode="External"/><Relationship Id="rId23" Type="http://schemas.openxmlformats.org/officeDocument/2006/relationships/hyperlink" Target="http://www.westlaw.com/Link/Document/FullText?findType=Y&amp;serNum=1955111212&amp;pubNum=0000162&amp;originatingDoc=I8f4489009f5811e5b10893af99153f48&amp;refType=RP&amp;originationContext=document&amp;vr=3.0&amp;rs=cblt1.0&amp;transitionType=DocumentItem&amp;contextData=(sc.UserEnteredCitation)" TargetMode="External"/><Relationship Id="rId28" Type="http://schemas.openxmlformats.org/officeDocument/2006/relationships/hyperlink" Target="http://www.westlaw.com/Link/Document/FullText?findType=Y&amp;serNum=1955111212&amp;pubNum=0000162&amp;originatingDoc=I8f4489009f5811e5b10893af99153f48&amp;refType=RP&amp;fi=co_pp_sp_162_56&amp;originationContext=document&amp;vr=3.0&amp;rs=cblt1.0&amp;transitionType=DocumentItem&amp;contextData=(sc.UserEnteredCitation)" TargetMode="External"/><Relationship Id="rId36" Type="http://schemas.openxmlformats.org/officeDocument/2006/relationships/hyperlink" Target="http://www.westlaw.com/Link/Document/FullText?findType=Y&amp;serNum=1994219932&amp;pubNum=0000661&amp;originatingDoc=I8f4489009f5811e5b10893af99153f48&amp;refType=RP&amp;fi=co_pp_sp_661_309&amp;originationContext=document&amp;vr=3.0&amp;rs=cblt1.0&amp;transitionType=DocumentItem&amp;contextData=(sc.UserEnteredCitation)" TargetMode="External"/><Relationship Id="rId10" Type="http://schemas.openxmlformats.org/officeDocument/2006/relationships/hyperlink" Target="http://www.westlaw.com/Link/Document/FullText?findType=Y&amp;serNum=2027995891&amp;pubNum=0000583&amp;originatingDoc=I8f4489009f5811e5b10893af99153f48&amp;refType=RP&amp;fi=co_pp_sp_583_525&amp;originationContext=document&amp;vr=3.0&amp;rs=cblt1.0&amp;transitionType=DocumentItem&amp;contextData=(sc.UserEnteredCitation)" TargetMode="External"/><Relationship Id="rId19" Type="http://schemas.openxmlformats.org/officeDocument/2006/relationships/hyperlink" Target="http://www.westlaw.com/Link/Document/FullText?findType=Y&amp;serNum=1979111102&amp;pubNum=0000162&amp;originatingDoc=I8f4489009f5811e5b10893af99153f48&amp;refType=RP&amp;fi=co_pp_sp_162_449&amp;originationContext=document&amp;vr=3.0&amp;rs=cblt1.0&amp;transitionType=DocumentItem&amp;contextData=(sc.UserEnteredCitation)" TargetMode="External"/><Relationship Id="rId31" Type="http://schemas.openxmlformats.org/officeDocument/2006/relationships/hyperlink" Target="http://www.westlaw.com/Link/Document/FullText?findType=Y&amp;serNum=2009731406&amp;pubNum=0004637&amp;originatingDoc=I8f4489009f5811e5b10893af99153f48&amp;refType=RP&amp;fi=co_pp_sp_4637_692&amp;originationContext=document&amp;vr=3.0&amp;rs=cblt1.0&amp;transitionType=DocumentItem&amp;contextData=(sc.UserEnteredCitation)"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westlaw.com/Link/Document/FullText?findType=Y&amp;serNum=1995138985&amp;pubNum=0000162&amp;originatingDoc=I8f4489009f5811e5b10893af99153f48&amp;refType=RP&amp;originationContext=document&amp;vr=3.0&amp;rs=cblt1.0&amp;transitionType=DocumentItem&amp;contextData=(sc.UserEnteredCitation)" TargetMode="External"/><Relationship Id="rId22" Type="http://schemas.openxmlformats.org/officeDocument/2006/relationships/hyperlink" Target="http://www.westlaw.com/Link/Document/FullText?findType=Y&amp;serNum=2022666748&amp;pubNum=0000162&amp;originatingDoc=I8f4489009f5811e5b10893af99153f48&amp;refType=RP&amp;fi=co_pp_sp_162_1000&amp;originationContext=document&amp;vr=3.0&amp;rs=cblt1.0&amp;transitionType=DocumentItem&amp;contextData=(sc.UserEnteredCitation)" TargetMode="External"/><Relationship Id="rId27" Type="http://schemas.openxmlformats.org/officeDocument/2006/relationships/hyperlink" Target="http://www.westlaw.com/Link/Document/FullText?findType=Y&amp;serNum=2022474687&amp;pubNum=0000162&amp;originatingDoc=I8f4489009f5811e5b10893af99153f48&amp;refType=RP&amp;fi=co_pp_sp_162_1000&amp;originationContext=document&amp;vr=3.0&amp;rs=cblt1.0&amp;transitionType=DocumentItem&amp;contextData=(sc.UserEnteredCitation)" TargetMode="External"/><Relationship Id="rId30" Type="http://schemas.openxmlformats.org/officeDocument/2006/relationships/hyperlink" Target="http://www.westlaw.com/Link/Document/FullText?findType=Y&amp;serNum=2019980909&amp;pubNum=0003926&amp;originatingDoc=I8f4489009f5811e5b10893af99153f48&amp;refType=RP&amp;fi=co_pp_sp_3926_610&amp;originationContext=document&amp;vr=3.0&amp;rs=cblt1.0&amp;transitionType=DocumentItem&amp;contextData=(sc.UserEnteredCitation)" TargetMode="External"/><Relationship Id="rId35" Type="http://schemas.openxmlformats.org/officeDocument/2006/relationships/hyperlink" Target="http://www.westlaw.com/Link/Document/FullText?findType=Y&amp;serNum=1994219932&amp;pubNum=0000661&amp;originatingDoc=I8f4489009f5811e5b10893af99153f48&amp;refType=RP&amp;originationContext=document&amp;vr=3.0&amp;rs=cblt1.0&amp;transitionType=DocumentItem&amp;contextData=(sc.UserEnteredCitation)" TargetMode="External"/><Relationship Id="rId43"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www.westlaw.com/Link/Document/FullText?findType=Y&amp;serNum=2004815033&amp;pubNum=0000162&amp;originatingDoc=I8f4489009f5811e5b10893af99153f48&amp;refType=RP&amp;originationContext=document&amp;vr=3.0&amp;rs=cblt1.0&amp;transitionType=DocumentItem&amp;contextData=(sc.UserEnteredCitation)" TargetMode="External"/><Relationship Id="rId17" Type="http://schemas.openxmlformats.org/officeDocument/2006/relationships/hyperlink" Target="http://www.westlaw.com/Link/Document/FullText?findType=Y&amp;serNum=2012832002&amp;pubNum=0000506&amp;originatingDoc=I8f4489009f5811e5b10893af99153f48&amp;refType=RP&amp;fi=co_pp_sp_506_214&amp;originationContext=document&amp;vr=3.0&amp;rs=cblt1.0&amp;transitionType=DocumentItem&amp;contextData=(sc.UserEnteredCitation)" TargetMode="External"/><Relationship Id="rId25" Type="http://schemas.openxmlformats.org/officeDocument/2006/relationships/hyperlink" Target="http://www.westlaw.com/Link/Document/FullText?findType=Y&amp;serNum=1955111212&amp;pubNum=0000162&amp;originatingDoc=I8f4489009f5811e5b10893af99153f48&amp;refType=RP&amp;fi=co_pp_sp_162_56&amp;originationContext=document&amp;vr=3.0&amp;rs=cblt1.0&amp;transitionType=DocumentItem&amp;contextData=(sc.UserEnteredCitation)" TargetMode="External"/><Relationship Id="rId33" Type="http://schemas.openxmlformats.org/officeDocument/2006/relationships/hyperlink" Target="http://www.westlaw.com/Link/Document/FullText?findType=Y&amp;serNum=2019980909&amp;pubNum=0003926&amp;originatingDoc=I8f4489009f5811e5b10893af99153f48&amp;refType=RP&amp;fi=co_pp_sp_3926_616&amp;originationContext=document&amp;vr=3.0&amp;rs=cblt1.0&amp;transitionType=DocumentItem&amp;contextData=(sc.UserEnteredCitation)" TargetMode="External"/><Relationship Id="rId38" Type="http://schemas.openxmlformats.org/officeDocument/2006/relationships/hyperlink" Target="http://www.westlaw.com/Link/Document/FullText?findType=Y&amp;serNum=1994219932&amp;pubNum=0000661&amp;originatingDoc=I8f4489009f5811e5b10893af99153f48&amp;refType=RP&amp;fi=co_pp_sp_661_311&amp;originationContext=document&amp;vr=3.0&amp;rs=cblt1.0&amp;transitionType=DocumentItem&amp;contextData=(sc.UserEnteredCitation)" TargetMode="External"/><Relationship Id="rId46" Type="http://schemas.openxmlformats.org/officeDocument/2006/relationships/theme" Target="theme/theme1.xml"/><Relationship Id="rId20" Type="http://schemas.openxmlformats.org/officeDocument/2006/relationships/hyperlink" Target="http://www.westlaw.com/Link/Document/FullText?findType=Y&amp;serNum=2022474687&amp;pubNum=0000162&amp;originatingDoc=I8f4489009f5811e5b10893af99153f48&amp;refType=RP&amp;fi=co_pp_sp_162_1000&amp;originationContext=document&amp;vr=3.0&amp;rs=cblt1.0&amp;transitionType=DocumentItem&amp;contextData=(sc.UserEnteredCitation)" TargetMode="External"/><Relationship Id="rId41" Type="http://schemas.openxmlformats.org/officeDocument/2006/relationships/hyperlink" Target="http://www.westlaw.com/Link/Document/FullText?findType=Y&amp;serNum=2012832002&amp;pubNum=0000506&amp;originatingDoc=I8f4489009f5811e5b10893af99153f48&amp;refType=RP&amp;fi=co_pp_sp_506_223&amp;originationContext=document&amp;vr=3.0&amp;rs=cblt1.0&amp;transitionType=DocumentItem&amp;contextData=(sc.UserEnteredCi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63F8D737A44344A5235BEC48E15E71" ma:contentTypeVersion="12" ma:contentTypeDescription="Create a new document." ma:contentTypeScope="" ma:versionID="3985a199d89586ffa0b53e7de2d4ae4a">
  <xsd:schema xmlns:xsd="http://www.w3.org/2001/XMLSchema" xmlns:xs="http://www.w3.org/2001/XMLSchema" xmlns:p="http://schemas.microsoft.com/office/2006/metadata/properties" xmlns:ns3="9980fc04-e005-4dfd-821f-5d929a44f5ff" xmlns:ns4="3e11f8a2-9b33-4d05-a1dd-006d3d343827" targetNamespace="http://schemas.microsoft.com/office/2006/metadata/properties" ma:root="true" ma:fieldsID="493e153a7b1126bde30ac7b807b6c1af" ns3:_="" ns4:_="">
    <xsd:import namespace="9980fc04-e005-4dfd-821f-5d929a44f5ff"/>
    <xsd:import namespace="3e11f8a2-9b33-4d05-a1dd-006d3d3438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80fc04-e005-4dfd-821f-5d929a44f5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1f8a2-9b33-4d05-a1dd-006d3d3438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82F50-71F4-4C9A-8765-8FAF2B784391}">
  <ds:schemaRefs>
    <ds:schemaRef ds:uri="3e11f8a2-9b33-4d05-a1dd-006d3d343827"/>
    <ds:schemaRef ds:uri="http://purl.org/dc/terms/"/>
    <ds:schemaRef ds:uri="http://schemas.microsoft.com/office/2006/documentManagement/types"/>
    <ds:schemaRef ds:uri="9980fc04-e005-4dfd-821f-5d929a44f5ff"/>
    <ds:schemaRef ds:uri="http://purl.org/dc/dcmitype/"/>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B06E48CA-FB5C-4B26-A0A2-CB844DDB4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80fc04-e005-4dfd-821f-5d929a44f5ff"/>
    <ds:schemaRef ds:uri="3e11f8a2-9b33-4d05-a1dd-006d3d343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94DC59-89F4-4C91-9F66-0CF9BB798AA5}">
  <ds:schemaRefs>
    <ds:schemaRef ds:uri="http://schemas.microsoft.com/sharepoint/v3/contenttype/forms"/>
  </ds:schemaRefs>
</ds:datastoreItem>
</file>

<file path=customXml/itemProps4.xml><?xml version="1.0" encoding="utf-8"?>
<ds:datastoreItem xmlns:ds="http://schemas.openxmlformats.org/officeDocument/2006/customXml" ds:itemID="{C1A8D217-DCA4-4E80-A38C-162558B0D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3295</Words>
  <Characters>27594</Characters>
  <Application>Microsoft Office Word</Application>
  <DocSecurity>0</DocSecurity>
  <Lines>229</Lines>
  <Paragraphs>61</Paragraphs>
  <ScaleCrop>false</ScaleCrop>
  <Company/>
  <LinksUpToDate>false</LinksUpToDate>
  <CharactersWithSpaces>30828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Malenick, Zachary (TR Product)</dc:creator>
  <cp:keywords/>
  <dc:description/>
  <cp:lastModifiedBy>Lane, Kevin (Legal)</cp:lastModifiedBy>
  <cp:revision>3</cp:revision>
  <dcterms:created xsi:type="dcterms:W3CDTF">2020-08-15T18:08:00Z</dcterms:created>
  <dcterms:modified xsi:type="dcterms:W3CDTF">2020-08-15T18:08:00Z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0x010100D563F8D737A44344A5235BEC48E15E71</vt:lpwstr>
  </property>
</Properties>
</file>