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885003" w14:textId="77777777" w:rsidR="006F0DEA" w:rsidRDefault="006F0DEA">
      <w:pPr>
        <w:widowControl w:val="0"/>
        <w:autoSpaceDE w:val="0"/>
        <w:autoSpaceDN w:val="0"/>
        <w:adjustRightInd w:val="0"/>
        <w:spacing w:after="0" w:line="240" w:lineRule="auto"/>
        <w:jc w:val="both"/>
        <w:rPr>
          <w:rFonts w:ascii="Times New Roman" w:hAnsi="Times New Roman" w:cs="Times New Roman"/>
          <w:color w:val="000000"/>
          <w:sz w:val="26"/>
          <w:szCs w:val="26"/>
        </w:rPr>
      </w:pPr>
    </w:p>
    <w:p w14:paraId="1472822C" w14:textId="77777777" w:rsidR="006F0DEA" w:rsidRDefault="006F0DEA">
      <w:pPr>
        <w:widowControl w:val="0"/>
        <w:autoSpaceDE w:val="0"/>
        <w:autoSpaceDN w:val="0"/>
        <w:adjustRightInd w:val="0"/>
        <w:spacing w:after="0" w:line="240" w:lineRule="auto"/>
        <w:rPr>
          <w:rFonts w:ascii="Arial" w:hAnsi="Arial" w:cs="Arial"/>
          <w:sz w:val="24"/>
          <w:szCs w:val="24"/>
        </w:rPr>
        <w:sectPr w:rsidR="006F0DEA">
          <w:headerReference w:type="default" r:id="rId6"/>
          <w:footerReference w:type="default" r:id="rId7"/>
          <w:pgSz w:w="12240" w:h="15840"/>
          <w:pgMar w:top="1080" w:right="1080" w:bottom="1080" w:left="1080" w:header="720" w:footer="720" w:gutter="0"/>
          <w:cols w:space="720"/>
          <w:noEndnote/>
        </w:sectPr>
      </w:pPr>
    </w:p>
    <w:p w14:paraId="3C54B106" w14:textId="34DDF605" w:rsidR="006F0DEA" w:rsidRDefault="007B3EEC">
      <w:pPr>
        <w:widowControl w:val="0"/>
        <w:autoSpaceDE w:val="0"/>
        <w:autoSpaceDN w:val="0"/>
        <w:adjustRightInd w:val="0"/>
        <w:spacing w:after="0" w:line="240" w:lineRule="auto"/>
        <w:jc w:val="center"/>
        <w:rPr>
          <w:rFonts w:ascii="Georgia" w:hAnsi="Georgia" w:cs="Georgia"/>
          <w:color w:val="000000"/>
          <w:sz w:val="26"/>
          <w:szCs w:val="26"/>
        </w:rPr>
      </w:pPr>
      <w:bookmarkStart w:id="0" w:name="co_document_1"/>
      <w:bookmarkStart w:id="1" w:name="I99d43d709f5811e5963e943a6ea61b35_Target"/>
      <w:bookmarkEnd w:id="0"/>
      <w:bookmarkEnd w:id="1"/>
      <w:r>
        <w:rPr>
          <w:rFonts w:ascii="Georgia" w:hAnsi="Georgia" w:cs="Georgia"/>
          <w:color w:val="000000"/>
          <w:sz w:val="26"/>
          <w:szCs w:val="26"/>
        </w:rPr>
        <w:t>United States District Court, D. Connecticut.</w:t>
      </w:r>
    </w:p>
    <w:p w14:paraId="18180D65" w14:textId="65813331" w:rsidR="006F0DEA" w:rsidRDefault="00190604">
      <w:pPr>
        <w:widowControl w:val="0"/>
        <w:autoSpaceDE w:val="0"/>
        <w:autoSpaceDN w:val="0"/>
        <w:adjustRightInd w:val="0"/>
        <w:spacing w:before="260" w:after="0" w:line="240" w:lineRule="auto"/>
        <w:ind w:left="130" w:right="130"/>
        <w:jc w:val="center"/>
        <w:rPr>
          <w:rFonts w:ascii="Georgia" w:hAnsi="Georgia" w:cs="Georgia"/>
          <w:color w:val="252525"/>
          <w:sz w:val="26"/>
          <w:szCs w:val="26"/>
        </w:rPr>
      </w:pPr>
      <w:r>
        <w:rPr>
          <w:rFonts w:ascii="Georgia" w:hAnsi="Georgia" w:cs="Georgia"/>
          <w:color w:val="252525"/>
          <w:sz w:val="26"/>
          <w:szCs w:val="26"/>
        </w:rPr>
        <w:t>ROBERT A. ROBERTS</w:t>
      </w:r>
      <w:r w:rsidR="007B3EEC">
        <w:rPr>
          <w:rFonts w:ascii="Georgia" w:hAnsi="Georgia" w:cs="Georgia"/>
          <w:color w:val="252525"/>
          <w:sz w:val="26"/>
          <w:szCs w:val="26"/>
        </w:rPr>
        <w:t>, Plaintiff,</w:t>
      </w:r>
    </w:p>
    <w:p w14:paraId="6DC6A9D7" w14:textId="77777777" w:rsidR="006F0DEA" w:rsidRDefault="007B3EEC">
      <w:pPr>
        <w:widowControl w:val="0"/>
        <w:autoSpaceDE w:val="0"/>
        <w:autoSpaceDN w:val="0"/>
        <w:adjustRightInd w:val="0"/>
        <w:spacing w:after="0" w:line="240" w:lineRule="auto"/>
        <w:ind w:left="130" w:right="130"/>
        <w:jc w:val="center"/>
        <w:rPr>
          <w:rFonts w:ascii="Georgia" w:hAnsi="Georgia" w:cs="Georgia"/>
          <w:color w:val="252525"/>
          <w:sz w:val="26"/>
          <w:szCs w:val="26"/>
        </w:rPr>
      </w:pPr>
      <w:r>
        <w:rPr>
          <w:rFonts w:ascii="Georgia" w:hAnsi="Georgia" w:cs="Georgia"/>
          <w:color w:val="252525"/>
          <w:sz w:val="26"/>
          <w:szCs w:val="26"/>
        </w:rPr>
        <w:t>v.</w:t>
      </w:r>
    </w:p>
    <w:p w14:paraId="796E8840" w14:textId="3DB12644" w:rsidR="006F0DEA" w:rsidRDefault="00190604">
      <w:pPr>
        <w:widowControl w:val="0"/>
        <w:autoSpaceDE w:val="0"/>
        <w:autoSpaceDN w:val="0"/>
        <w:adjustRightInd w:val="0"/>
        <w:spacing w:after="260" w:line="240" w:lineRule="auto"/>
        <w:ind w:left="130" w:right="130"/>
        <w:jc w:val="center"/>
        <w:rPr>
          <w:rFonts w:ascii="Georgia" w:hAnsi="Georgia" w:cs="Georgia"/>
          <w:color w:val="252525"/>
          <w:sz w:val="26"/>
          <w:szCs w:val="26"/>
        </w:rPr>
      </w:pPr>
      <w:r>
        <w:rPr>
          <w:rFonts w:ascii="Georgia" w:hAnsi="Georgia" w:cs="Georgia"/>
          <w:color w:val="252525"/>
          <w:sz w:val="26"/>
          <w:szCs w:val="26"/>
        </w:rPr>
        <w:t>NORTHERN INSURANCE COMPANY</w:t>
      </w:r>
      <w:r w:rsidR="007B3EEC">
        <w:rPr>
          <w:rFonts w:ascii="Georgia" w:hAnsi="Georgia" w:cs="Georgia"/>
          <w:color w:val="252525"/>
          <w:sz w:val="26"/>
          <w:szCs w:val="26"/>
        </w:rPr>
        <w:t>, Defendant.</w:t>
      </w:r>
    </w:p>
    <w:p w14:paraId="357DE771" w14:textId="77777777" w:rsidR="006F0DEA" w:rsidRDefault="007B3EEC">
      <w:pPr>
        <w:widowControl w:val="0"/>
        <w:autoSpaceDE w:val="0"/>
        <w:autoSpaceDN w:val="0"/>
        <w:adjustRightInd w:val="0"/>
        <w:spacing w:after="0" w:line="240" w:lineRule="auto"/>
        <w:jc w:val="center"/>
        <w:rPr>
          <w:rFonts w:ascii="Georgia" w:hAnsi="Georgia" w:cs="Georgia"/>
          <w:color w:val="000000"/>
          <w:sz w:val="26"/>
          <w:szCs w:val="26"/>
        </w:rPr>
      </w:pPr>
      <w:r>
        <w:rPr>
          <w:rFonts w:ascii="Georgia" w:hAnsi="Georgia" w:cs="Georgia"/>
          <w:color w:val="000000"/>
          <w:sz w:val="26"/>
          <w:szCs w:val="26"/>
        </w:rPr>
        <w:t>October 3, 2014.</w:t>
      </w:r>
    </w:p>
    <w:p w14:paraId="3A24B0D2" w14:textId="279B4743" w:rsidR="006F0DEA" w:rsidRDefault="00190604">
      <w:pPr>
        <w:widowControl w:val="0"/>
        <w:autoSpaceDE w:val="0"/>
        <w:autoSpaceDN w:val="0"/>
        <w:adjustRightInd w:val="0"/>
        <w:spacing w:before="520" w:after="520" w:line="240" w:lineRule="auto"/>
        <w:jc w:val="center"/>
        <w:rPr>
          <w:rFonts w:ascii="Times New Roman" w:hAnsi="Times New Roman" w:cs="Times New Roman"/>
          <w:b/>
          <w:bCs/>
          <w:color w:val="000000"/>
          <w:sz w:val="26"/>
          <w:szCs w:val="26"/>
        </w:rPr>
      </w:pPr>
      <w:r>
        <w:rPr>
          <w:rFonts w:ascii="Times New Roman" w:hAnsi="Times New Roman" w:cs="Times New Roman"/>
          <w:b/>
          <w:bCs/>
          <w:color w:val="000000"/>
          <w:sz w:val="26"/>
          <w:szCs w:val="26"/>
        </w:rPr>
        <w:t>Robert A. Robert’s</w:t>
      </w:r>
      <w:r w:rsidR="007B3EEC">
        <w:rPr>
          <w:rFonts w:ascii="Times New Roman" w:hAnsi="Times New Roman" w:cs="Times New Roman"/>
          <w:b/>
          <w:bCs/>
          <w:color w:val="000000"/>
          <w:sz w:val="26"/>
          <w:szCs w:val="26"/>
        </w:rPr>
        <w:t xml:space="preserve"> Memorandum of Law in Opposition to Defendant’s Motion for Summary Judgment and in Support of its Cross-Motion for Summary Judgment</w:t>
      </w:r>
    </w:p>
    <w:p w14:paraId="174A2960" w14:textId="6EDACB16" w:rsidR="006F0DEA" w:rsidRDefault="007B3EEC">
      <w:pPr>
        <w:widowControl w:val="0"/>
        <w:autoSpaceDE w:val="0"/>
        <w:autoSpaceDN w:val="0"/>
        <w:adjustRightInd w:val="0"/>
        <w:spacing w:before="260"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Plaintiff, </w:t>
      </w:r>
      <w:r w:rsidR="00190604">
        <w:rPr>
          <w:rFonts w:ascii="Times New Roman" w:hAnsi="Times New Roman" w:cs="Times New Roman"/>
          <w:color w:val="000000"/>
          <w:sz w:val="26"/>
          <w:szCs w:val="26"/>
        </w:rPr>
        <w:t>ROBERT A. ROBERTS</w:t>
      </w:r>
      <w:r>
        <w:rPr>
          <w:rFonts w:ascii="Times New Roman" w:hAnsi="Times New Roman" w:cs="Times New Roman"/>
          <w:color w:val="000000"/>
          <w:sz w:val="26"/>
          <w:szCs w:val="26"/>
        </w:rPr>
        <w:t xml:space="preserve">. (“Plaintiff”), by and through its undersigned counsel, submits this Memorandum of Law in Opposition to Defendant </w:t>
      </w:r>
      <w:r w:rsidR="00190604">
        <w:rPr>
          <w:rFonts w:ascii="Times New Roman" w:hAnsi="Times New Roman" w:cs="Times New Roman"/>
          <w:color w:val="000000"/>
          <w:sz w:val="26"/>
          <w:szCs w:val="26"/>
        </w:rPr>
        <w:t>NORTHERN INSRUANCE COMPANY</w:t>
      </w:r>
      <w:r>
        <w:rPr>
          <w:rFonts w:ascii="Times New Roman" w:hAnsi="Times New Roman" w:cs="Times New Roman"/>
          <w:color w:val="000000"/>
          <w:sz w:val="26"/>
          <w:szCs w:val="26"/>
        </w:rPr>
        <w:t>’s (“Defendant”) Motion for Summary Judgment and in Support of Plaintiff’s Cross-Motion for Summary Judgment.</w:t>
      </w:r>
    </w:p>
    <w:p w14:paraId="132206BE" w14:textId="77777777" w:rsidR="006F0DEA" w:rsidRDefault="007B3EEC">
      <w:pPr>
        <w:widowControl w:val="0"/>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w:t>
      </w:r>
    </w:p>
    <w:p w14:paraId="1B6969B6" w14:textId="77777777" w:rsidR="006F0DEA" w:rsidRDefault="007B3EEC">
      <w:pPr>
        <w:widowControl w:val="0"/>
        <w:autoSpaceDE w:val="0"/>
        <w:autoSpaceDN w:val="0"/>
        <w:adjustRightInd w:val="0"/>
        <w:spacing w:before="520" w:after="260" w:line="240" w:lineRule="auto"/>
        <w:jc w:val="center"/>
        <w:rPr>
          <w:rFonts w:ascii="Times New Roman" w:hAnsi="Times New Roman" w:cs="Times New Roman"/>
          <w:b/>
          <w:bCs/>
          <w:i/>
          <w:iCs/>
          <w:color w:val="000000"/>
          <w:sz w:val="26"/>
          <w:szCs w:val="26"/>
        </w:rPr>
      </w:pPr>
      <w:r>
        <w:rPr>
          <w:rFonts w:ascii="Times New Roman" w:hAnsi="Times New Roman" w:cs="Times New Roman"/>
          <w:b/>
          <w:bCs/>
          <w:i/>
          <w:iCs/>
          <w:color w:val="000000"/>
          <w:sz w:val="26"/>
          <w:szCs w:val="26"/>
        </w:rPr>
        <w:t>FACTS</w:t>
      </w:r>
    </w:p>
    <w:p w14:paraId="360937EB" w14:textId="45EAC933" w:rsidR="006F0DEA" w:rsidRDefault="007B3EEC">
      <w:pPr>
        <w:widowControl w:val="0"/>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The facts relevant to this motion are set forth in Plaintiff’s 56(a)(2) Statement (“Plaintiff’s </w:t>
      </w:r>
      <w:proofErr w:type="spellStart"/>
      <w:r>
        <w:rPr>
          <w:rFonts w:ascii="Times New Roman" w:hAnsi="Times New Roman" w:cs="Times New Roman"/>
          <w:color w:val="000000"/>
          <w:sz w:val="26"/>
          <w:szCs w:val="26"/>
        </w:rPr>
        <w:t>Stmt</w:t>
      </w:r>
      <w:proofErr w:type="spellEnd"/>
      <w:r>
        <w:rPr>
          <w:rFonts w:ascii="Times New Roman" w:hAnsi="Times New Roman" w:cs="Times New Roman"/>
          <w:color w:val="000000"/>
          <w:sz w:val="26"/>
          <w:szCs w:val="26"/>
        </w:rPr>
        <w:t xml:space="preserve">”), Plaintiff’s 56(a)(1) Counter Statement of Undisputed Facts (“Plaintiffs’ Counter </w:t>
      </w:r>
      <w:proofErr w:type="spellStart"/>
      <w:r>
        <w:rPr>
          <w:rFonts w:ascii="Times New Roman" w:hAnsi="Times New Roman" w:cs="Times New Roman"/>
          <w:color w:val="000000"/>
          <w:sz w:val="26"/>
          <w:szCs w:val="26"/>
        </w:rPr>
        <w:t>Stmt</w:t>
      </w:r>
      <w:proofErr w:type="spellEnd"/>
      <w:r>
        <w:rPr>
          <w:rFonts w:ascii="Times New Roman" w:hAnsi="Times New Roman" w:cs="Times New Roman"/>
          <w:color w:val="000000"/>
          <w:sz w:val="26"/>
          <w:szCs w:val="26"/>
        </w:rPr>
        <w:t xml:space="preserve">”), the Declaration of Verne </w:t>
      </w:r>
      <w:r w:rsidR="00190604">
        <w:rPr>
          <w:rFonts w:ascii="Times New Roman" w:hAnsi="Times New Roman" w:cs="Times New Roman"/>
          <w:color w:val="000000"/>
          <w:sz w:val="26"/>
          <w:szCs w:val="26"/>
        </w:rPr>
        <w:t>Smith</w:t>
      </w:r>
      <w:r>
        <w:rPr>
          <w:rFonts w:ascii="Times New Roman" w:hAnsi="Times New Roman" w:cs="Times New Roman"/>
          <w:color w:val="000000"/>
          <w:sz w:val="26"/>
          <w:szCs w:val="26"/>
        </w:rPr>
        <w:t xml:space="preserve"> (“</w:t>
      </w:r>
      <w:r w:rsidR="00190604">
        <w:rPr>
          <w:rFonts w:ascii="Times New Roman" w:hAnsi="Times New Roman" w:cs="Times New Roman"/>
          <w:i/>
          <w:iCs/>
          <w:color w:val="000000"/>
          <w:sz w:val="26"/>
          <w:szCs w:val="26"/>
        </w:rPr>
        <w:t>Smith</w:t>
      </w:r>
      <w:r>
        <w:rPr>
          <w:rFonts w:ascii="Times New Roman" w:hAnsi="Times New Roman" w:cs="Times New Roman"/>
          <w:i/>
          <w:iCs/>
          <w:color w:val="000000"/>
          <w:sz w:val="26"/>
          <w:szCs w:val="26"/>
        </w:rPr>
        <w:t xml:space="preserve"> Decl.</w:t>
      </w:r>
      <w:r>
        <w:rPr>
          <w:rFonts w:ascii="Times New Roman" w:hAnsi="Times New Roman" w:cs="Times New Roman"/>
          <w:color w:val="000000"/>
          <w:sz w:val="26"/>
          <w:szCs w:val="26"/>
        </w:rPr>
        <w:t xml:space="preserve">”), the Declaration of </w:t>
      </w:r>
      <w:r w:rsidR="00190604">
        <w:rPr>
          <w:rFonts w:ascii="Times New Roman" w:hAnsi="Times New Roman" w:cs="Times New Roman"/>
          <w:color w:val="000000"/>
          <w:sz w:val="26"/>
          <w:szCs w:val="26"/>
        </w:rPr>
        <w:t>Mike</w:t>
      </w:r>
      <w:r>
        <w:rPr>
          <w:rFonts w:ascii="Times New Roman" w:hAnsi="Times New Roman" w:cs="Times New Roman"/>
          <w:color w:val="000000"/>
          <w:sz w:val="26"/>
          <w:szCs w:val="26"/>
        </w:rPr>
        <w:t xml:space="preserve"> Branson (</w:t>
      </w:r>
      <w:r>
        <w:rPr>
          <w:rFonts w:ascii="Times New Roman" w:hAnsi="Times New Roman" w:cs="Times New Roman"/>
          <w:i/>
          <w:iCs/>
          <w:color w:val="000000"/>
          <w:sz w:val="26"/>
          <w:szCs w:val="26"/>
        </w:rPr>
        <w:t>“Branson Decl.”</w:t>
      </w:r>
      <w:r>
        <w:rPr>
          <w:rFonts w:ascii="Times New Roman" w:hAnsi="Times New Roman" w:cs="Times New Roman"/>
          <w:color w:val="000000"/>
          <w:sz w:val="26"/>
          <w:szCs w:val="26"/>
        </w:rPr>
        <w:t>) and the Declaration of Cla</w:t>
      </w:r>
      <w:r w:rsidR="00190604">
        <w:rPr>
          <w:rFonts w:ascii="Times New Roman" w:hAnsi="Times New Roman" w:cs="Times New Roman"/>
          <w:color w:val="000000"/>
          <w:sz w:val="26"/>
          <w:szCs w:val="26"/>
        </w:rPr>
        <w:t>rissa</w:t>
      </w:r>
      <w:r>
        <w:rPr>
          <w:rFonts w:ascii="Times New Roman" w:hAnsi="Times New Roman" w:cs="Times New Roman"/>
          <w:color w:val="000000"/>
          <w:sz w:val="26"/>
          <w:szCs w:val="26"/>
        </w:rPr>
        <w:t xml:space="preserve"> </w:t>
      </w:r>
      <w:r w:rsidR="00190604">
        <w:rPr>
          <w:rFonts w:ascii="Times New Roman" w:hAnsi="Times New Roman" w:cs="Times New Roman"/>
          <w:color w:val="000000"/>
          <w:sz w:val="26"/>
          <w:szCs w:val="26"/>
        </w:rPr>
        <w:t>Orville</w:t>
      </w:r>
      <w:r>
        <w:rPr>
          <w:rFonts w:ascii="Times New Roman" w:hAnsi="Times New Roman" w:cs="Times New Roman"/>
          <w:color w:val="000000"/>
          <w:sz w:val="26"/>
          <w:szCs w:val="26"/>
        </w:rPr>
        <w:t xml:space="preserve"> </w:t>
      </w:r>
      <w:r>
        <w:rPr>
          <w:rFonts w:ascii="Times New Roman" w:hAnsi="Times New Roman" w:cs="Times New Roman"/>
          <w:i/>
          <w:iCs/>
          <w:color w:val="000000"/>
          <w:sz w:val="26"/>
          <w:szCs w:val="26"/>
        </w:rPr>
        <w:t>(“</w:t>
      </w:r>
      <w:r w:rsidR="00190604">
        <w:rPr>
          <w:rFonts w:ascii="Times New Roman" w:hAnsi="Times New Roman" w:cs="Times New Roman"/>
          <w:i/>
          <w:iCs/>
          <w:color w:val="000000"/>
          <w:sz w:val="26"/>
          <w:szCs w:val="26"/>
        </w:rPr>
        <w:t>Orville</w:t>
      </w:r>
      <w:r>
        <w:rPr>
          <w:rFonts w:ascii="Times New Roman" w:hAnsi="Times New Roman" w:cs="Times New Roman"/>
          <w:i/>
          <w:iCs/>
          <w:color w:val="000000"/>
          <w:sz w:val="26"/>
          <w:szCs w:val="26"/>
        </w:rPr>
        <w:t xml:space="preserve"> Decl.”)</w:t>
      </w:r>
      <w:r>
        <w:rPr>
          <w:rFonts w:ascii="Times New Roman" w:hAnsi="Times New Roman" w:cs="Times New Roman"/>
          <w:color w:val="000000"/>
          <w:sz w:val="26"/>
          <w:szCs w:val="26"/>
        </w:rPr>
        <w:t xml:space="preserve"> filed in support of Plaintiff’s Opposition and Cross-Motion. These documents are fully incorporated herein and referenced throughout this memorandum.</w:t>
      </w:r>
    </w:p>
    <w:p w14:paraId="1AB3132E" w14:textId="77777777" w:rsidR="006F0DEA" w:rsidRDefault="007B3EEC">
      <w:pPr>
        <w:widowControl w:val="0"/>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w:t>
      </w:r>
    </w:p>
    <w:p w14:paraId="62F39943" w14:textId="77777777" w:rsidR="006F0DEA" w:rsidRDefault="007B3EEC">
      <w:pPr>
        <w:widowControl w:val="0"/>
        <w:autoSpaceDE w:val="0"/>
        <w:autoSpaceDN w:val="0"/>
        <w:adjustRightInd w:val="0"/>
        <w:spacing w:before="520" w:after="260" w:line="240" w:lineRule="auto"/>
        <w:jc w:val="center"/>
        <w:rPr>
          <w:rFonts w:ascii="Times New Roman" w:hAnsi="Times New Roman" w:cs="Times New Roman"/>
          <w:b/>
          <w:bCs/>
          <w:i/>
          <w:iCs/>
          <w:color w:val="000000"/>
          <w:sz w:val="26"/>
          <w:szCs w:val="26"/>
        </w:rPr>
      </w:pPr>
      <w:r>
        <w:rPr>
          <w:rFonts w:ascii="Times New Roman" w:hAnsi="Times New Roman" w:cs="Times New Roman"/>
          <w:b/>
          <w:bCs/>
          <w:i/>
          <w:iCs/>
          <w:color w:val="000000"/>
          <w:sz w:val="26"/>
          <w:szCs w:val="26"/>
        </w:rPr>
        <w:t>I. LEGAL STANDARD ON A MOTION FOR SUMMARY JUDGMENT</w:t>
      </w:r>
    </w:p>
    <w:p w14:paraId="364B791B" w14:textId="77777777" w:rsidR="006F0DEA" w:rsidRDefault="007B3EEC">
      <w:pPr>
        <w:widowControl w:val="0"/>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Pursuant to </w:t>
      </w:r>
      <w:hyperlink r:id="rId8" w:anchor="co_pp_4b24000003ba5" w:history="1">
        <w:r>
          <w:rPr>
            <w:rFonts w:ascii="Times New Roman" w:hAnsi="Times New Roman" w:cs="Times New Roman"/>
            <w:color w:val="0000FF"/>
            <w:sz w:val="26"/>
            <w:szCs w:val="26"/>
            <w:u w:val="single"/>
          </w:rPr>
          <w:t>Fed. R. Civ. P. 56(c)</w:t>
        </w:r>
      </w:hyperlink>
      <w:r>
        <w:rPr>
          <w:rFonts w:ascii="Times New Roman" w:hAnsi="Times New Roman" w:cs="Times New Roman"/>
          <w:color w:val="000000"/>
          <w:sz w:val="26"/>
          <w:szCs w:val="26"/>
        </w:rPr>
        <w:t xml:space="preserve">, a party will prevail on a motion for summary judgment when that party demonstrates that the pleadings, depositions, and discovery on file, together with affidavits, if any, show that there is no genuine issue as to any material fact and that the moving party is entitled to a judgment as a matter of law. The parties submit that the issues to be decided by the respective motions contain no genuine issue of any material facts. The issue to be decided is a question of law for the Court. </w:t>
      </w:r>
      <w:hyperlink r:id="rId9" w:anchor="co_pp_sp_506_73" w:history="1">
        <w:r>
          <w:rPr>
            <w:rFonts w:ascii="Times New Roman" w:hAnsi="Times New Roman" w:cs="Times New Roman"/>
            <w:i/>
            <w:iCs/>
            <w:color w:val="0000FF"/>
            <w:sz w:val="26"/>
            <w:szCs w:val="26"/>
            <w:u w:val="single"/>
          </w:rPr>
          <w:t>Royal Ins. Co. of America v. KSI Trading Corp.</w:t>
        </w:r>
        <w:r>
          <w:rPr>
            <w:rFonts w:ascii="Times New Roman" w:hAnsi="Times New Roman" w:cs="Times New Roman"/>
            <w:color w:val="0000FF"/>
            <w:sz w:val="26"/>
            <w:szCs w:val="26"/>
            <w:u w:val="single"/>
          </w:rPr>
          <w:t>, 563 F.3d 68, 73 (3d Cir. 2009)</w:t>
        </w:r>
      </w:hyperlink>
      <w:r>
        <w:rPr>
          <w:rFonts w:ascii="Times New Roman" w:hAnsi="Times New Roman" w:cs="Times New Roman"/>
          <w:color w:val="000000"/>
          <w:sz w:val="26"/>
          <w:szCs w:val="26"/>
        </w:rPr>
        <w:t xml:space="preserve"> (“Determining whether ambiguity exists in an insurance policy is a question of law.”).</w:t>
      </w:r>
    </w:p>
    <w:p w14:paraId="0871CB84" w14:textId="77777777" w:rsidR="006F0DEA" w:rsidRDefault="007B3EEC">
      <w:pPr>
        <w:widowControl w:val="0"/>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w:t>
      </w:r>
    </w:p>
    <w:p w14:paraId="10993E1B" w14:textId="4984D3EC" w:rsidR="006F0DEA" w:rsidRDefault="00190604">
      <w:pPr>
        <w:widowControl w:val="0"/>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Northern</w:t>
      </w:r>
      <w:r w:rsidR="007B3EEC">
        <w:rPr>
          <w:rFonts w:ascii="Times New Roman" w:hAnsi="Times New Roman" w:cs="Times New Roman"/>
          <w:color w:val="000000"/>
          <w:sz w:val="26"/>
          <w:szCs w:val="26"/>
        </w:rPr>
        <w:t xml:space="preserve"> moves for summary judgment seeking a determination by the Court that the flood exclusion contained in its insurance policy issued to Great Lakes is clear and unambiguous and therefore, the flood exclusion applies to bar a portion of Great Lakes’ claim. </w:t>
      </w:r>
      <w:r>
        <w:rPr>
          <w:rFonts w:ascii="Times New Roman" w:hAnsi="Times New Roman" w:cs="Times New Roman"/>
          <w:color w:val="000000"/>
          <w:sz w:val="26"/>
          <w:szCs w:val="26"/>
        </w:rPr>
        <w:t>Roberts</w:t>
      </w:r>
      <w:r w:rsidR="007B3EEC">
        <w:rPr>
          <w:rFonts w:ascii="Times New Roman" w:hAnsi="Times New Roman" w:cs="Times New Roman"/>
          <w:color w:val="000000"/>
          <w:sz w:val="26"/>
          <w:szCs w:val="26"/>
        </w:rPr>
        <w:t xml:space="preserve"> cross-moves </w:t>
      </w:r>
      <w:r w:rsidR="007B3EEC">
        <w:rPr>
          <w:rFonts w:ascii="Times New Roman" w:hAnsi="Times New Roman" w:cs="Times New Roman"/>
          <w:color w:val="000000"/>
          <w:sz w:val="26"/>
          <w:szCs w:val="26"/>
        </w:rPr>
        <w:lastRenderedPageBreak/>
        <w:t xml:space="preserve">for summary judgment and seeks a determination by the Court that the flood exclusion does not apply, it is ambiguous, and that </w:t>
      </w:r>
      <w:r>
        <w:rPr>
          <w:rFonts w:ascii="Times New Roman" w:hAnsi="Times New Roman" w:cs="Times New Roman"/>
          <w:color w:val="000000"/>
          <w:sz w:val="26"/>
          <w:szCs w:val="26"/>
        </w:rPr>
        <w:t>Roberts</w:t>
      </w:r>
      <w:r w:rsidR="007B3EEC">
        <w:rPr>
          <w:rFonts w:ascii="Times New Roman" w:hAnsi="Times New Roman" w:cs="Times New Roman"/>
          <w:color w:val="000000"/>
          <w:sz w:val="26"/>
          <w:szCs w:val="26"/>
        </w:rPr>
        <w:t>’ entire claim is covered.</w:t>
      </w:r>
    </w:p>
    <w:p w14:paraId="61F0394B" w14:textId="77777777" w:rsidR="006F0DEA" w:rsidRDefault="007B3EEC">
      <w:pPr>
        <w:widowControl w:val="0"/>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w:t>
      </w:r>
    </w:p>
    <w:p w14:paraId="57D2E7E2" w14:textId="77777777" w:rsidR="006F0DEA" w:rsidRDefault="007B3EEC">
      <w:pPr>
        <w:widowControl w:val="0"/>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Because the issue is one of ambiguity, or not, it is a question of law for the Court to decide. </w:t>
      </w:r>
      <w:hyperlink r:id="rId10" w:anchor="co_pp_sp_506_73" w:history="1">
        <w:r>
          <w:rPr>
            <w:rFonts w:ascii="Times New Roman" w:hAnsi="Times New Roman" w:cs="Times New Roman"/>
            <w:i/>
            <w:iCs/>
            <w:color w:val="0000FF"/>
            <w:sz w:val="26"/>
            <w:szCs w:val="26"/>
            <w:u w:val="single"/>
          </w:rPr>
          <w:t>Royal Ins. Co. of America</w:t>
        </w:r>
        <w:r>
          <w:rPr>
            <w:rFonts w:ascii="Times New Roman" w:hAnsi="Times New Roman" w:cs="Times New Roman"/>
            <w:color w:val="0000FF"/>
            <w:sz w:val="26"/>
            <w:szCs w:val="26"/>
            <w:u w:val="single"/>
          </w:rPr>
          <w:t xml:space="preserve"> 563 F.3d at 73</w:t>
        </w:r>
      </w:hyperlink>
      <w:r>
        <w:rPr>
          <w:rFonts w:ascii="Times New Roman" w:hAnsi="Times New Roman" w:cs="Times New Roman"/>
          <w:color w:val="000000"/>
          <w:sz w:val="26"/>
          <w:szCs w:val="26"/>
        </w:rPr>
        <w:t>.</w:t>
      </w:r>
    </w:p>
    <w:p w14:paraId="5116A9AF" w14:textId="77777777" w:rsidR="006F0DEA" w:rsidRDefault="007B3EEC">
      <w:pPr>
        <w:widowControl w:val="0"/>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w:t>
      </w:r>
    </w:p>
    <w:p w14:paraId="6D787D95" w14:textId="77777777" w:rsidR="006F0DEA" w:rsidRDefault="007B3EEC">
      <w:pPr>
        <w:widowControl w:val="0"/>
        <w:autoSpaceDE w:val="0"/>
        <w:autoSpaceDN w:val="0"/>
        <w:adjustRightInd w:val="0"/>
        <w:spacing w:before="520" w:after="260" w:line="240" w:lineRule="auto"/>
        <w:jc w:val="center"/>
        <w:rPr>
          <w:rFonts w:ascii="Times New Roman" w:hAnsi="Times New Roman" w:cs="Times New Roman"/>
          <w:b/>
          <w:bCs/>
          <w:i/>
          <w:iCs/>
          <w:color w:val="000000"/>
          <w:sz w:val="26"/>
          <w:szCs w:val="26"/>
        </w:rPr>
      </w:pPr>
      <w:r>
        <w:rPr>
          <w:rFonts w:ascii="Times New Roman" w:hAnsi="Times New Roman" w:cs="Times New Roman"/>
          <w:b/>
          <w:bCs/>
          <w:i/>
          <w:iCs/>
          <w:color w:val="000000"/>
          <w:sz w:val="26"/>
          <w:szCs w:val="26"/>
        </w:rPr>
        <w:t>II. THE INSURANCE POLICY</w:t>
      </w:r>
    </w:p>
    <w:p w14:paraId="4276A342" w14:textId="5A5479E6" w:rsidR="006F0DEA" w:rsidRDefault="007B3EEC">
      <w:pPr>
        <w:widowControl w:val="0"/>
        <w:autoSpaceDE w:val="0"/>
        <w:autoSpaceDN w:val="0"/>
        <w:adjustRightInd w:val="0"/>
        <w:spacing w:after="0" w:line="240" w:lineRule="auto"/>
        <w:jc w:val="both"/>
        <w:rPr>
          <w:rFonts w:ascii="Times New Roman" w:hAnsi="Times New Roman" w:cs="Times New Roman"/>
          <w:i/>
          <w:iCs/>
          <w:color w:val="000000"/>
          <w:sz w:val="26"/>
          <w:szCs w:val="26"/>
        </w:rPr>
      </w:pPr>
      <w:r>
        <w:rPr>
          <w:rFonts w:ascii="Times New Roman" w:hAnsi="Times New Roman" w:cs="Times New Roman"/>
          <w:color w:val="000000"/>
          <w:sz w:val="26"/>
          <w:szCs w:val="26"/>
        </w:rPr>
        <w:t xml:space="preserve">On or about May 1, 1994, St. Paul Fire &amp; Marine Insurance Company (“St. Paul”) issued a Marine Open Cargo Policy of Insurance (“Policy”) to the Plaintiff which has been renewed annually since that time. </w:t>
      </w:r>
      <w:r>
        <w:rPr>
          <w:rFonts w:ascii="Times New Roman" w:hAnsi="Times New Roman" w:cs="Times New Roman"/>
          <w:i/>
          <w:iCs/>
          <w:color w:val="000000"/>
          <w:sz w:val="26"/>
          <w:szCs w:val="26"/>
        </w:rPr>
        <w:t>Branson Decl. ¶¶ 9-10.</w:t>
      </w:r>
      <w:r>
        <w:rPr>
          <w:rFonts w:ascii="Times New Roman" w:hAnsi="Times New Roman" w:cs="Times New Roman"/>
          <w:color w:val="000000"/>
          <w:sz w:val="26"/>
          <w:szCs w:val="26"/>
        </w:rPr>
        <w:t xml:space="preserve"> </w:t>
      </w:r>
      <w:r w:rsidR="00190604">
        <w:rPr>
          <w:rFonts w:ascii="Times New Roman" w:hAnsi="Times New Roman" w:cs="Times New Roman"/>
          <w:color w:val="000000"/>
          <w:sz w:val="26"/>
          <w:szCs w:val="26"/>
        </w:rPr>
        <w:t>Northern</w:t>
      </w:r>
      <w:r>
        <w:rPr>
          <w:rFonts w:ascii="Times New Roman" w:hAnsi="Times New Roman" w:cs="Times New Roman"/>
          <w:color w:val="000000"/>
          <w:sz w:val="26"/>
          <w:szCs w:val="26"/>
        </w:rPr>
        <w:t xml:space="preserve"> eventually acquired St. Paul and took over writing the same insurance for </w:t>
      </w:r>
      <w:r w:rsidR="00190604">
        <w:rPr>
          <w:rFonts w:ascii="Times New Roman" w:hAnsi="Times New Roman" w:cs="Times New Roman"/>
          <w:color w:val="000000"/>
          <w:sz w:val="26"/>
          <w:szCs w:val="26"/>
        </w:rPr>
        <w:t>Roberts</w:t>
      </w:r>
      <w:r>
        <w:rPr>
          <w:rFonts w:ascii="Times New Roman" w:hAnsi="Times New Roman" w:cs="Times New Roman"/>
          <w:color w:val="000000"/>
          <w:sz w:val="26"/>
          <w:szCs w:val="26"/>
        </w:rPr>
        <w:t xml:space="preserve">. </w:t>
      </w:r>
      <w:r>
        <w:rPr>
          <w:rFonts w:ascii="Times New Roman" w:hAnsi="Times New Roman" w:cs="Times New Roman"/>
          <w:i/>
          <w:iCs/>
          <w:color w:val="000000"/>
          <w:sz w:val="26"/>
          <w:szCs w:val="26"/>
        </w:rPr>
        <w:t>Branson Decl. ¶ 9-10.</w:t>
      </w:r>
    </w:p>
    <w:p w14:paraId="5C61E4A1" w14:textId="77777777" w:rsidR="006F0DEA" w:rsidRDefault="007B3EEC">
      <w:pPr>
        <w:widowControl w:val="0"/>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w:t>
      </w:r>
    </w:p>
    <w:p w14:paraId="328CE388" w14:textId="0EDBF797" w:rsidR="006F0DEA" w:rsidRDefault="007B3EEC">
      <w:pPr>
        <w:widowControl w:val="0"/>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The Policy issued </w:t>
      </w:r>
      <w:proofErr w:type="gramStart"/>
      <w:r>
        <w:rPr>
          <w:rFonts w:ascii="Times New Roman" w:hAnsi="Times New Roman" w:cs="Times New Roman"/>
          <w:color w:val="000000"/>
          <w:sz w:val="26"/>
          <w:szCs w:val="26"/>
        </w:rPr>
        <w:t>insures</w:t>
      </w:r>
      <w:proofErr w:type="gramEnd"/>
      <w:r>
        <w:rPr>
          <w:rFonts w:ascii="Times New Roman" w:hAnsi="Times New Roman" w:cs="Times New Roman"/>
          <w:color w:val="000000"/>
          <w:sz w:val="26"/>
          <w:szCs w:val="26"/>
        </w:rPr>
        <w:t xml:space="preserve"> </w:t>
      </w:r>
      <w:r w:rsidR="00190604">
        <w:rPr>
          <w:rFonts w:ascii="Times New Roman" w:hAnsi="Times New Roman" w:cs="Times New Roman"/>
          <w:color w:val="000000"/>
          <w:sz w:val="26"/>
          <w:szCs w:val="26"/>
        </w:rPr>
        <w:t>Roberts</w:t>
      </w:r>
      <w:r>
        <w:rPr>
          <w:rFonts w:ascii="Times New Roman" w:hAnsi="Times New Roman" w:cs="Times New Roman"/>
          <w:color w:val="000000"/>
          <w:sz w:val="26"/>
          <w:szCs w:val="26"/>
        </w:rPr>
        <w:t xml:space="preserve">’ goods that were stored in the </w:t>
      </w:r>
      <w:proofErr w:type="spellStart"/>
      <w:r>
        <w:rPr>
          <w:rFonts w:ascii="Times New Roman" w:hAnsi="Times New Roman" w:cs="Times New Roman"/>
          <w:color w:val="000000"/>
          <w:sz w:val="26"/>
          <w:szCs w:val="26"/>
        </w:rPr>
        <w:t>Refrig</w:t>
      </w:r>
      <w:proofErr w:type="spellEnd"/>
      <w:r>
        <w:rPr>
          <w:rFonts w:ascii="Times New Roman" w:hAnsi="Times New Roman" w:cs="Times New Roman"/>
          <w:color w:val="000000"/>
          <w:sz w:val="26"/>
          <w:szCs w:val="26"/>
        </w:rPr>
        <w:t xml:space="preserve">-It Warehouse in New Jersey when Hurricane Sandy struck. </w:t>
      </w:r>
      <w:r w:rsidR="00190604">
        <w:rPr>
          <w:rFonts w:ascii="Times New Roman" w:hAnsi="Times New Roman" w:cs="Times New Roman"/>
          <w:i/>
          <w:iCs/>
          <w:color w:val="000000"/>
          <w:sz w:val="26"/>
          <w:szCs w:val="26"/>
        </w:rPr>
        <w:t>Orville</w:t>
      </w:r>
      <w:r>
        <w:rPr>
          <w:rFonts w:ascii="Times New Roman" w:hAnsi="Times New Roman" w:cs="Times New Roman"/>
          <w:i/>
          <w:iCs/>
          <w:color w:val="000000"/>
          <w:sz w:val="26"/>
          <w:szCs w:val="26"/>
        </w:rPr>
        <w:t xml:space="preserve"> Decl. </w:t>
      </w:r>
      <w:proofErr w:type="spellStart"/>
      <w:r>
        <w:rPr>
          <w:rFonts w:ascii="Times New Roman" w:hAnsi="Times New Roman" w:cs="Times New Roman"/>
          <w:i/>
          <w:iCs/>
          <w:color w:val="000000"/>
          <w:sz w:val="26"/>
          <w:szCs w:val="26"/>
        </w:rPr>
        <w:t>Exh</w:t>
      </w:r>
      <w:proofErr w:type="spellEnd"/>
      <w:r>
        <w:rPr>
          <w:rFonts w:ascii="Times New Roman" w:hAnsi="Times New Roman" w:cs="Times New Roman"/>
          <w:i/>
          <w:iCs/>
          <w:color w:val="000000"/>
          <w:sz w:val="26"/>
          <w:szCs w:val="26"/>
        </w:rPr>
        <w:t>. 1 ¶2; Branson Decl. ¶11.</w:t>
      </w:r>
      <w:r>
        <w:rPr>
          <w:rFonts w:ascii="Times New Roman" w:hAnsi="Times New Roman" w:cs="Times New Roman"/>
          <w:color w:val="000000"/>
          <w:sz w:val="26"/>
          <w:szCs w:val="26"/>
        </w:rPr>
        <w:t xml:space="preserve"> The Policy states:</w:t>
      </w:r>
    </w:p>
    <w:p w14:paraId="6201B996" w14:textId="77777777" w:rsidR="006F0DEA" w:rsidRDefault="007B3EEC">
      <w:pPr>
        <w:widowControl w:val="0"/>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3. Covering On. To cover all shipments of lawful goods, and/or merchandise, hereinafter called goods, of every kind and description consisting principally of food products, apricots, pine nuts, sesame seeds, sunflower seeds, pumpkin seeds, honey, canned cherries, and similar goods incidental to the business of the Assured ….</w:t>
      </w:r>
    </w:p>
    <w:p w14:paraId="77399FE2" w14:textId="77777777" w:rsidR="006F0DEA" w:rsidRDefault="007B3EEC">
      <w:pPr>
        <w:widowControl w:val="0"/>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w:t>
      </w:r>
    </w:p>
    <w:p w14:paraId="78B78C9F" w14:textId="77777777" w:rsidR="006F0DEA" w:rsidRDefault="007B3EEC">
      <w:pPr>
        <w:widowControl w:val="0"/>
        <w:autoSpaceDE w:val="0"/>
        <w:autoSpaceDN w:val="0"/>
        <w:adjustRightInd w:val="0"/>
        <w:spacing w:after="0" w:line="240" w:lineRule="auto"/>
        <w:jc w:val="both"/>
        <w:rPr>
          <w:rFonts w:ascii="Times New Roman" w:hAnsi="Times New Roman" w:cs="Times New Roman"/>
          <w:i/>
          <w:iCs/>
          <w:color w:val="000000"/>
          <w:sz w:val="26"/>
          <w:szCs w:val="26"/>
        </w:rPr>
      </w:pPr>
      <w:proofErr w:type="spellStart"/>
      <w:r>
        <w:rPr>
          <w:rFonts w:ascii="Times New Roman" w:hAnsi="Times New Roman" w:cs="Times New Roman"/>
          <w:i/>
          <w:iCs/>
          <w:color w:val="000000"/>
          <w:sz w:val="26"/>
          <w:szCs w:val="26"/>
        </w:rPr>
        <w:t>Carr</w:t>
      </w:r>
      <w:proofErr w:type="spellEnd"/>
      <w:r>
        <w:rPr>
          <w:rFonts w:ascii="Times New Roman" w:hAnsi="Times New Roman" w:cs="Times New Roman"/>
          <w:i/>
          <w:iCs/>
          <w:color w:val="000000"/>
          <w:sz w:val="26"/>
          <w:szCs w:val="26"/>
        </w:rPr>
        <w:t xml:space="preserve"> Decl. </w:t>
      </w:r>
      <w:proofErr w:type="spellStart"/>
      <w:r>
        <w:rPr>
          <w:rFonts w:ascii="Times New Roman" w:hAnsi="Times New Roman" w:cs="Times New Roman"/>
          <w:i/>
          <w:iCs/>
          <w:color w:val="000000"/>
          <w:sz w:val="26"/>
          <w:szCs w:val="26"/>
        </w:rPr>
        <w:t>Exh</w:t>
      </w:r>
      <w:proofErr w:type="spellEnd"/>
      <w:r>
        <w:rPr>
          <w:rFonts w:ascii="Times New Roman" w:hAnsi="Times New Roman" w:cs="Times New Roman"/>
          <w:i/>
          <w:iCs/>
          <w:color w:val="000000"/>
          <w:sz w:val="26"/>
          <w:szCs w:val="26"/>
        </w:rPr>
        <w:t xml:space="preserve">. A, pg. 86; </w:t>
      </w:r>
      <w:proofErr w:type="spellStart"/>
      <w:r>
        <w:rPr>
          <w:rFonts w:ascii="Times New Roman" w:hAnsi="Times New Roman" w:cs="Times New Roman"/>
          <w:i/>
          <w:iCs/>
          <w:color w:val="000000"/>
          <w:sz w:val="26"/>
          <w:szCs w:val="26"/>
        </w:rPr>
        <w:t>Carr</w:t>
      </w:r>
      <w:proofErr w:type="spellEnd"/>
      <w:r>
        <w:rPr>
          <w:rFonts w:ascii="Times New Roman" w:hAnsi="Times New Roman" w:cs="Times New Roman"/>
          <w:i/>
          <w:iCs/>
          <w:color w:val="000000"/>
          <w:sz w:val="26"/>
          <w:szCs w:val="26"/>
        </w:rPr>
        <w:t xml:space="preserve"> Decl. </w:t>
      </w:r>
      <w:proofErr w:type="spellStart"/>
      <w:r>
        <w:rPr>
          <w:rFonts w:ascii="Times New Roman" w:hAnsi="Times New Roman" w:cs="Times New Roman"/>
          <w:i/>
          <w:iCs/>
          <w:color w:val="000000"/>
          <w:sz w:val="26"/>
          <w:szCs w:val="26"/>
        </w:rPr>
        <w:t>Exh</w:t>
      </w:r>
      <w:proofErr w:type="spellEnd"/>
      <w:r>
        <w:rPr>
          <w:rFonts w:ascii="Times New Roman" w:hAnsi="Times New Roman" w:cs="Times New Roman"/>
          <w:i/>
          <w:iCs/>
          <w:color w:val="000000"/>
          <w:sz w:val="26"/>
          <w:szCs w:val="26"/>
        </w:rPr>
        <w:t>. C, pg. 4.</w:t>
      </w:r>
    </w:p>
    <w:p w14:paraId="349AA2C7" w14:textId="77777777" w:rsidR="006F0DEA" w:rsidRDefault="007B3EEC">
      <w:pPr>
        <w:widowControl w:val="0"/>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w:t>
      </w:r>
    </w:p>
    <w:p w14:paraId="2B637F3D" w14:textId="77777777" w:rsidR="006F0DEA" w:rsidRDefault="007B3EEC">
      <w:pPr>
        <w:widowControl w:val="0"/>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w:t>
      </w:r>
    </w:p>
    <w:p w14:paraId="231523EC" w14:textId="1170BF48" w:rsidR="006F0DEA" w:rsidRDefault="00190604">
      <w:pPr>
        <w:widowControl w:val="0"/>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Roberts</w:t>
      </w:r>
      <w:r w:rsidR="007B3EEC">
        <w:rPr>
          <w:rFonts w:ascii="Times New Roman" w:hAnsi="Times New Roman" w:cs="Times New Roman"/>
          <w:color w:val="000000"/>
          <w:sz w:val="26"/>
          <w:szCs w:val="26"/>
        </w:rPr>
        <w:t xml:space="preserve">’ goods that were stored in the warehouse were insured for all-risks pursuant to Endorsement No. 16, the Warehouse Endorsement. </w:t>
      </w:r>
      <w:r w:rsidR="007B3EEC">
        <w:rPr>
          <w:rFonts w:ascii="Times New Roman" w:hAnsi="Times New Roman" w:cs="Times New Roman"/>
          <w:i/>
          <w:iCs/>
          <w:color w:val="000000"/>
          <w:sz w:val="26"/>
          <w:szCs w:val="26"/>
        </w:rPr>
        <w:t xml:space="preserve">Branson Decl. ¶17; </w:t>
      </w:r>
      <w:r>
        <w:rPr>
          <w:rFonts w:ascii="Times New Roman" w:hAnsi="Times New Roman" w:cs="Times New Roman"/>
          <w:i/>
          <w:iCs/>
          <w:color w:val="000000"/>
          <w:sz w:val="26"/>
          <w:szCs w:val="26"/>
        </w:rPr>
        <w:t>Orville</w:t>
      </w:r>
      <w:r w:rsidR="007B3EEC">
        <w:rPr>
          <w:rFonts w:ascii="Times New Roman" w:hAnsi="Times New Roman" w:cs="Times New Roman"/>
          <w:i/>
          <w:iCs/>
          <w:color w:val="000000"/>
          <w:sz w:val="26"/>
          <w:szCs w:val="26"/>
        </w:rPr>
        <w:t xml:space="preserve"> Decl. </w:t>
      </w:r>
      <w:proofErr w:type="spellStart"/>
      <w:r w:rsidR="007B3EEC">
        <w:rPr>
          <w:rFonts w:ascii="Times New Roman" w:hAnsi="Times New Roman" w:cs="Times New Roman"/>
          <w:i/>
          <w:iCs/>
          <w:color w:val="000000"/>
          <w:sz w:val="26"/>
          <w:szCs w:val="26"/>
        </w:rPr>
        <w:t>Exh</w:t>
      </w:r>
      <w:proofErr w:type="spellEnd"/>
      <w:r w:rsidR="007B3EEC">
        <w:rPr>
          <w:rFonts w:ascii="Times New Roman" w:hAnsi="Times New Roman" w:cs="Times New Roman"/>
          <w:i/>
          <w:iCs/>
          <w:color w:val="000000"/>
          <w:sz w:val="26"/>
          <w:szCs w:val="26"/>
        </w:rPr>
        <w:t xml:space="preserve">. 2; </w:t>
      </w:r>
      <w:proofErr w:type="spellStart"/>
      <w:r w:rsidR="007B3EEC">
        <w:rPr>
          <w:rFonts w:ascii="Times New Roman" w:hAnsi="Times New Roman" w:cs="Times New Roman"/>
          <w:i/>
          <w:iCs/>
          <w:color w:val="000000"/>
          <w:sz w:val="26"/>
          <w:szCs w:val="26"/>
        </w:rPr>
        <w:t>Carr</w:t>
      </w:r>
      <w:proofErr w:type="spellEnd"/>
      <w:r w:rsidR="007B3EEC">
        <w:rPr>
          <w:rFonts w:ascii="Times New Roman" w:hAnsi="Times New Roman" w:cs="Times New Roman"/>
          <w:i/>
          <w:iCs/>
          <w:color w:val="000000"/>
          <w:sz w:val="26"/>
          <w:szCs w:val="26"/>
        </w:rPr>
        <w:t xml:space="preserve"> Decl. </w:t>
      </w:r>
      <w:proofErr w:type="spellStart"/>
      <w:r w:rsidR="007B3EEC">
        <w:rPr>
          <w:rFonts w:ascii="Times New Roman" w:hAnsi="Times New Roman" w:cs="Times New Roman"/>
          <w:i/>
          <w:iCs/>
          <w:color w:val="000000"/>
          <w:sz w:val="26"/>
          <w:szCs w:val="26"/>
        </w:rPr>
        <w:t>Exh</w:t>
      </w:r>
      <w:proofErr w:type="spellEnd"/>
      <w:r w:rsidR="007B3EEC">
        <w:rPr>
          <w:rFonts w:ascii="Times New Roman" w:hAnsi="Times New Roman" w:cs="Times New Roman"/>
          <w:i/>
          <w:iCs/>
          <w:color w:val="000000"/>
          <w:sz w:val="26"/>
          <w:szCs w:val="26"/>
        </w:rPr>
        <w:t xml:space="preserve">. A, pg. 87; </w:t>
      </w:r>
      <w:proofErr w:type="spellStart"/>
      <w:r w:rsidR="007B3EEC">
        <w:rPr>
          <w:rFonts w:ascii="Times New Roman" w:hAnsi="Times New Roman" w:cs="Times New Roman"/>
          <w:i/>
          <w:iCs/>
          <w:color w:val="000000"/>
          <w:sz w:val="26"/>
          <w:szCs w:val="26"/>
        </w:rPr>
        <w:t>Carr</w:t>
      </w:r>
      <w:proofErr w:type="spellEnd"/>
      <w:r w:rsidR="007B3EEC">
        <w:rPr>
          <w:rFonts w:ascii="Times New Roman" w:hAnsi="Times New Roman" w:cs="Times New Roman"/>
          <w:i/>
          <w:iCs/>
          <w:color w:val="000000"/>
          <w:sz w:val="26"/>
          <w:szCs w:val="26"/>
        </w:rPr>
        <w:t xml:space="preserve"> Decl. </w:t>
      </w:r>
      <w:proofErr w:type="spellStart"/>
      <w:r w:rsidR="007B3EEC">
        <w:rPr>
          <w:rFonts w:ascii="Times New Roman" w:hAnsi="Times New Roman" w:cs="Times New Roman"/>
          <w:i/>
          <w:iCs/>
          <w:color w:val="000000"/>
          <w:sz w:val="26"/>
          <w:szCs w:val="26"/>
        </w:rPr>
        <w:t>Exh</w:t>
      </w:r>
      <w:proofErr w:type="spellEnd"/>
      <w:r w:rsidR="007B3EEC">
        <w:rPr>
          <w:rFonts w:ascii="Times New Roman" w:hAnsi="Times New Roman" w:cs="Times New Roman"/>
          <w:i/>
          <w:iCs/>
          <w:color w:val="000000"/>
          <w:sz w:val="26"/>
          <w:szCs w:val="26"/>
        </w:rPr>
        <w:t>. C, pg. 5.</w:t>
      </w:r>
      <w:r w:rsidR="007B3EEC">
        <w:rPr>
          <w:rFonts w:ascii="Times New Roman" w:hAnsi="Times New Roman" w:cs="Times New Roman"/>
          <w:color w:val="000000"/>
          <w:sz w:val="26"/>
          <w:szCs w:val="26"/>
        </w:rPr>
        <w:t xml:space="preserve"> That Endorsement states in part:</w:t>
      </w:r>
    </w:p>
    <w:p w14:paraId="7D0FE9A0" w14:textId="77777777" w:rsidR="006F0DEA" w:rsidRDefault="007B3EEC">
      <w:pPr>
        <w:widowControl w:val="0"/>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1. Effective May 1, 2006 and in consideration for an additional premium as agreed, this Policy, </w:t>
      </w:r>
      <w:r>
        <w:rPr>
          <w:rFonts w:ascii="Times New Roman" w:hAnsi="Times New Roman" w:cs="Times New Roman"/>
          <w:i/>
          <w:iCs/>
          <w:color w:val="000000"/>
          <w:sz w:val="26"/>
          <w:szCs w:val="26"/>
        </w:rPr>
        <w:t>subject to all terms and conditions not in conflict with this Endorsement</w:t>
      </w:r>
      <w:r>
        <w:rPr>
          <w:rFonts w:ascii="Times New Roman" w:hAnsi="Times New Roman" w:cs="Times New Roman"/>
          <w:color w:val="000000"/>
          <w:sz w:val="26"/>
          <w:szCs w:val="26"/>
        </w:rPr>
        <w:t>, is extended to include covered goods temporarily stored in warehouses and/or other locations as hereinafter provided. (emphasis added).</w:t>
      </w:r>
    </w:p>
    <w:p w14:paraId="6682979C" w14:textId="77777777" w:rsidR="006F0DEA" w:rsidRDefault="007B3EEC">
      <w:pPr>
        <w:widowControl w:val="0"/>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w:t>
      </w:r>
    </w:p>
    <w:p w14:paraId="3AFF1882" w14:textId="77777777" w:rsidR="006F0DEA" w:rsidRDefault="007B3EEC">
      <w:pPr>
        <w:widowControl w:val="0"/>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2. Goods covered by this Endorsement are insured per Conditions of Coverage Clause (7A) of this policy, plus strikes, riots and civil commotion as endorsed to of this policy.</w:t>
      </w:r>
    </w:p>
    <w:p w14:paraId="675C0F16" w14:textId="77777777" w:rsidR="006F0DEA" w:rsidRDefault="007B3EEC">
      <w:pPr>
        <w:widowControl w:val="0"/>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w:t>
      </w:r>
    </w:p>
    <w:p w14:paraId="51BBB35B" w14:textId="77777777" w:rsidR="006F0DEA" w:rsidRDefault="007B3EEC">
      <w:pPr>
        <w:widowControl w:val="0"/>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w:t>
      </w:r>
    </w:p>
    <w:p w14:paraId="28DC8745" w14:textId="77777777" w:rsidR="006F0DEA" w:rsidRDefault="007B3EEC">
      <w:pPr>
        <w:widowControl w:val="0"/>
        <w:autoSpaceDE w:val="0"/>
        <w:autoSpaceDN w:val="0"/>
        <w:adjustRightInd w:val="0"/>
        <w:spacing w:before="520" w:after="260" w:line="240" w:lineRule="auto"/>
        <w:jc w:val="center"/>
        <w:rPr>
          <w:rFonts w:ascii="Times New Roman" w:hAnsi="Times New Roman" w:cs="Times New Roman"/>
          <w:b/>
          <w:bCs/>
          <w:color w:val="000000"/>
          <w:sz w:val="26"/>
          <w:szCs w:val="26"/>
        </w:rPr>
      </w:pPr>
      <w:r>
        <w:rPr>
          <w:rFonts w:ascii="Times New Roman" w:hAnsi="Times New Roman" w:cs="Times New Roman"/>
          <w:b/>
          <w:bCs/>
          <w:color w:val="000000"/>
          <w:sz w:val="26"/>
          <w:szCs w:val="26"/>
        </w:rPr>
        <w:t>***</w:t>
      </w:r>
    </w:p>
    <w:p w14:paraId="2F3E3A69" w14:textId="61C3F5FE" w:rsidR="006F0DEA" w:rsidRDefault="007B3EEC">
      <w:pPr>
        <w:widowControl w:val="0"/>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Clause 7A “Conditions of Coverage” provides the all-risks coverage to </w:t>
      </w:r>
      <w:r w:rsidR="00190604">
        <w:rPr>
          <w:rFonts w:ascii="Times New Roman" w:hAnsi="Times New Roman" w:cs="Times New Roman"/>
          <w:color w:val="000000"/>
          <w:sz w:val="26"/>
          <w:szCs w:val="26"/>
        </w:rPr>
        <w:t>Roberts</w:t>
      </w:r>
      <w:r>
        <w:rPr>
          <w:rFonts w:ascii="Times New Roman" w:hAnsi="Times New Roman" w:cs="Times New Roman"/>
          <w:color w:val="000000"/>
          <w:sz w:val="26"/>
          <w:szCs w:val="26"/>
        </w:rPr>
        <w:t xml:space="preserve"> for its covered property. It states in part:</w:t>
      </w:r>
    </w:p>
    <w:p w14:paraId="0153878B" w14:textId="77777777" w:rsidR="006F0DEA" w:rsidRDefault="007B3EEC">
      <w:pPr>
        <w:widowControl w:val="0"/>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Except while “On Deck” of an ocean vessel and subject to the terms of an “On Deck” Bill of Lading unless otherwise agreed:</w:t>
      </w:r>
    </w:p>
    <w:p w14:paraId="7C839837" w14:textId="77777777" w:rsidR="006F0DEA" w:rsidRDefault="007B3EEC">
      <w:pPr>
        <w:widowControl w:val="0"/>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lastRenderedPageBreak/>
        <w:t> </w:t>
      </w:r>
    </w:p>
    <w:p w14:paraId="5F736313" w14:textId="77777777" w:rsidR="006F0DEA" w:rsidRDefault="007B3EEC">
      <w:pPr>
        <w:widowControl w:val="0"/>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Direct shipments of food products … in approved export packing </w:t>
      </w:r>
      <w:r>
        <w:rPr>
          <w:rFonts w:ascii="Times New Roman" w:hAnsi="Times New Roman" w:cs="Times New Roman"/>
          <w:i/>
          <w:iCs/>
          <w:color w:val="000000"/>
          <w:sz w:val="26"/>
          <w:szCs w:val="26"/>
        </w:rPr>
        <w:t xml:space="preserve">are insured against </w:t>
      </w:r>
      <w:r>
        <w:rPr>
          <w:rFonts w:ascii="Times New Roman" w:hAnsi="Times New Roman" w:cs="Times New Roman"/>
          <w:b/>
          <w:bCs/>
          <w:i/>
          <w:iCs/>
          <w:color w:val="000000"/>
          <w:sz w:val="26"/>
          <w:szCs w:val="26"/>
        </w:rPr>
        <w:t>all risks</w:t>
      </w:r>
      <w:r>
        <w:rPr>
          <w:rFonts w:ascii="Times New Roman" w:hAnsi="Times New Roman" w:cs="Times New Roman"/>
          <w:i/>
          <w:iCs/>
          <w:color w:val="000000"/>
          <w:sz w:val="26"/>
          <w:szCs w:val="26"/>
        </w:rPr>
        <w:t xml:space="preserve"> of physical loss or damage from any external cause irrespective of percentage</w:t>
      </w:r>
      <w:r>
        <w:rPr>
          <w:rFonts w:ascii="Times New Roman" w:hAnsi="Times New Roman" w:cs="Times New Roman"/>
          <w:color w:val="000000"/>
          <w:sz w:val="26"/>
          <w:szCs w:val="26"/>
        </w:rPr>
        <w:t xml:space="preserve">, including theft, pilferage, and/or </w:t>
      </w:r>
      <w:proofErr w:type="spellStart"/>
      <w:r>
        <w:rPr>
          <w:rFonts w:ascii="Times New Roman" w:hAnsi="Times New Roman" w:cs="Times New Roman"/>
          <w:color w:val="000000"/>
          <w:sz w:val="26"/>
          <w:szCs w:val="26"/>
        </w:rPr>
        <w:t>nondelivery</w:t>
      </w:r>
      <w:proofErr w:type="spellEnd"/>
      <w:r>
        <w:rPr>
          <w:rFonts w:ascii="Times New Roman" w:hAnsi="Times New Roman" w:cs="Times New Roman"/>
          <w:color w:val="000000"/>
          <w:sz w:val="26"/>
          <w:szCs w:val="26"/>
        </w:rPr>
        <w:t>, but excluding, nevertheless, the risks of war … and other risks excluded by the “F.C.&amp;S. and/or S.R. &amp; C.C.” Warranties in the printed portion of the policy… Also warranted free from claims arising of the inherent vice of the goods insured or consequent upon loss of time and/or market. (emphasis added).</w:t>
      </w:r>
    </w:p>
    <w:p w14:paraId="68ACC743" w14:textId="77777777" w:rsidR="006F0DEA" w:rsidRDefault="007B3EEC">
      <w:pPr>
        <w:widowControl w:val="0"/>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w:t>
      </w:r>
    </w:p>
    <w:p w14:paraId="47653CBE" w14:textId="77777777" w:rsidR="006F0DEA" w:rsidRDefault="007B3EEC">
      <w:pPr>
        <w:widowControl w:val="0"/>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w:t>
      </w:r>
    </w:p>
    <w:p w14:paraId="11D811FA" w14:textId="77777777" w:rsidR="006F0DEA" w:rsidRDefault="007B3EEC">
      <w:pPr>
        <w:widowControl w:val="0"/>
        <w:autoSpaceDE w:val="0"/>
        <w:autoSpaceDN w:val="0"/>
        <w:adjustRightInd w:val="0"/>
        <w:spacing w:after="0" w:line="240" w:lineRule="auto"/>
        <w:jc w:val="both"/>
        <w:rPr>
          <w:rFonts w:ascii="Times New Roman" w:hAnsi="Times New Roman" w:cs="Times New Roman"/>
          <w:i/>
          <w:iCs/>
          <w:color w:val="000000"/>
          <w:sz w:val="26"/>
          <w:szCs w:val="26"/>
        </w:rPr>
      </w:pPr>
      <w:r>
        <w:rPr>
          <w:rFonts w:ascii="Times New Roman" w:hAnsi="Times New Roman" w:cs="Times New Roman"/>
          <w:i/>
          <w:iCs/>
          <w:color w:val="000000"/>
          <w:sz w:val="26"/>
          <w:szCs w:val="26"/>
        </w:rPr>
        <w:t xml:space="preserve">Branson Decl. ¶17; </w:t>
      </w:r>
      <w:proofErr w:type="spellStart"/>
      <w:r>
        <w:rPr>
          <w:rFonts w:ascii="Times New Roman" w:hAnsi="Times New Roman" w:cs="Times New Roman"/>
          <w:i/>
          <w:iCs/>
          <w:color w:val="000000"/>
          <w:sz w:val="26"/>
          <w:szCs w:val="26"/>
        </w:rPr>
        <w:t>Carr</w:t>
      </w:r>
      <w:proofErr w:type="spellEnd"/>
      <w:r>
        <w:rPr>
          <w:rFonts w:ascii="Times New Roman" w:hAnsi="Times New Roman" w:cs="Times New Roman"/>
          <w:i/>
          <w:iCs/>
          <w:color w:val="000000"/>
          <w:sz w:val="26"/>
          <w:szCs w:val="26"/>
        </w:rPr>
        <w:t xml:space="preserve"> Decl. </w:t>
      </w:r>
      <w:proofErr w:type="spellStart"/>
      <w:r>
        <w:rPr>
          <w:rFonts w:ascii="Times New Roman" w:hAnsi="Times New Roman" w:cs="Times New Roman"/>
          <w:i/>
          <w:iCs/>
          <w:color w:val="000000"/>
          <w:sz w:val="26"/>
          <w:szCs w:val="26"/>
        </w:rPr>
        <w:t>Exh</w:t>
      </w:r>
      <w:proofErr w:type="spellEnd"/>
      <w:r>
        <w:rPr>
          <w:rFonts w:ascii="Times New Roman" w:hAnsi="Times New Roman" w:cs="Times New Roman"/>
          <w:i/>
          <w:iCs/>
          <w:color w:val="000000"/>
          <w:sz w:val="26"/>
          <w:szCs w:val="26"/>
        </w:rPr>
        <w:t xml:space="preserve">. A, pg. 86; </w:t>
      </w:r>
      <w:proofErr w:type="spellStart"/>
      <w:r>
        <w:rPr>
          <w:rFonts w:ascii="Times New Roman" w:hAnsi="Times New Roman" w:cs="Times New Roman"/>
          <w:i/>
          <w:iCs/>
          <w:color w:val="000000"/>
          <w:sz w:val="26"/>
          <w:szCs w:val="26"/>
        </w:rPr>
        <w:t>Carr</w:t>
      </w:r>
      <w:proofErr w:type="spellEnd"/>
      <w:r>
        <w:rPr>
          <w:rFonts w:ascii="Times New Roman" w:hAnsi="Times New Roman" w:cs="Times New Roman"/>
          <w:i/>
          <w:iCs/>
          <w:color w:val="000000"/>
          <w:sz w:val="26"/>
          <w:szCs w:val="26"/>
        </w:rPr>
        <w:t xml:space="preserve"> Decl. </w:t>
      </w:r>
      <w:proofErr w:type="spellStart"/>
      <w:r>
        <w:rPr>
          <w:rFonts w:ascii="Times New Roman" w:hAnsi="Times New Roman" w:cs="Times New Roman"/>
          <w:i/>
          <w:iCs/>
          <w:color w:val="000000"/>
          <w:sz w:val="26"/>
          <w:szCs w:val="26"/>
        </w:rPr>
        <w:t>Exh</w:t>
      </w:r>
      <w:proofErr w:type="spellEnd"/>
      <w:r>
        <w:rPr>
          <w:rFonts w:ascii="Times New Roman" w:hAnsi="Times New Roman" w:cs="Times New Roman"/>
          <w:i/>
          <w:iCs/>
          <w:color w:val="000000"/>
          <w:sz w:val="26"/>
          <w:szCs w:val="26"/>
        </w:rPr>
        <w:t>. C, pg. 5.</w:t>
      </w:r>
    </w:p>
    <w:p w14:paraId="29366C34" w14:textId="77777777" w:rsidR="006F0DEA" w:rsidRDefault="007B3EEC">
      <w:pPr>
        <w:widowControl w:val="0"/>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w:t>
      </w:r>
    </w:p>
    <w:p w14:paraId="27E1CC33" w14:textId="2E8ED164" w:rsidR="006F0DEA" w:rsidRDefault="007B3EEC">
      <w:pPr>
        <w:widowControl w:val="0"/>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Based on the Policy, </w:t>
      </w:r>
      <w:r w:rsidR="00190604">
        <w:rPr>
          <w:rFonts w:ascii="Times New Roman" w:hAnsi="Times New Roman" w:cs="Times New Roman"/>
          <w:color w:val="000000"/>
          <w:sz w:val="26"/>
          <w:szCs w:val="26"/>
        </w:rPr>
        <w:t>Roberts</w:t>
      </w:r>
      <w:r>
        <w:rPr>
          <w:rFonts w:ascii="Times New Roman" w:hAnsi="Times New Roman" w:cs="Times New Roman"/>
          <w:color w:val="000000"/>
          <w:sz w:val="26"/>
          <w:szCs w:val="26"/>
        </w:rPr>
        <w:t xml:space="preserve"> submitted its claim to </w:t>
      </w:r>
      <w:r w:rsidR="00190604">
        <w:rPr>
          <w:rFonts w:ascii="Times New Roman" w:hAnsi="Times New Roman" w:cs="Times New Roman"/>
          <w:color w:val="000000"/>
          <w:sz w:val="26"/>
          <w:szCs w:val="26"/>
        </w:rPr>
        <w:t>Northern</w:t>
      </w:r>
      <w:r>
        <w:rPr>
          <w:rFonts w:ascii="Times New Roman" w:hAnsi="Times New Roman" w:cs="Times New Roman"/>
          <w:color w:val="000000"/>
          <w:sz w:val="26"/>
          <w:szCs w:val="26"/>
        </w:rPr>
        <w:t xml:space="preserve"> for losses in the amount of $1,535,753.30. </w:t>
      </w:r>
      <w:r w:rsidR="00190604">
        <w:rPr>
          <w:rFonts w:ascii="Times New Roman" w:hAnsi="Times New Roman" w:cs="Times New Roman"/>
          <w:i/>
          <w:iCs/>
          <w:color w:val="000000"/>
          <w:sz w:val="26"/>
          <w:szCs w:val="26"/>
        </w:rPr>
        <w:t>Smith</w:t>
      </w:r>
      <w:r>
        <w:rPr>
          <w:rFonts w:ascii="Times New Roman" w:hAnsi="Times New Roman" w:cs="Times New Roman"/>
          <w:i/>
          <w:iCs/>
          <w:color w:val="000000"/>
          <w:sz w:val="26"/>
          <w:szCs w:val="26"/>
        </w:rPr>
        <w:t xml:space="preserve"> Decl. ¶ 14.</w:t>
      </w:r>
      <w:r>
        <w:rPr>
          <w:rFonts w:ascii="Times New Roman" w:hAnsi="Times New Roman" w:cs="Times New Roman"/>
          <w:color w:val="000000"/>
          <w:sz w:val="26"/>
          <w:szCs w:val="26"/>
        </w:rPr>
        <w:t xml:space="preserve"> </w:t>
      </w:r>
      <w:r w:rsidR="00190604">
        <w:rPr>
          <w:rFonts w:ascii="Times New Roman" w:hAnsi="Times New Roman" w:cs="Times New Roman"/>
          <w:color w:val="000000"/>
          <w:sz w:val="26"/>
          <w:szCs w:val="26"/>
        </w:rPr>
        <w:t>Northern</w:t>
      </w:r>
      <w:r>
        <w:rPr>
          <w:rFonts w:ascii="Times New Roman" w:hAnsi="Times New Roman" w:cs="Times New Roman"/>
          <w:color w:val="000000"/>
          <w:sz w:val="26"/>
          <w:szCs w:val="26"/>
        </w:rPr>
        <w:t xml:space="preserve"> paid $887,729.00 for the loss. </w:t>
      </w:r>
      <w:r w:rsidR="00190604">
        <w:rPr>
          <w:rFonts w:ascii="Times New Roman" w:hAnsi="Times New Roman" w:cs="Times New Roman"/>
          <w:i/>
          <w:iCs/>
          <w:color w:val="000000"/>
          <w:sz w:val="26"/>
          <w:szCs w:val="26"/>
        </w:rPr>
        <w:t>Smith</w:t>
      </w:r>
      <w:r>
        <w:rPr>
          <w:rFonts w:ascii="Times New Roman" w:hAnsi="Times New Roman" w:cs="Times New Roman"/>
          <w:i/>
          <w:iCs/>
          <w:color w:val="000000"/>
          <w:sz w:val="26"/>
          <w:szCs w:val="26"/>
        </w:rPr>
        <w:t xml:space="preserve"> Decl. ¶ 15; Branson Decl. ¶14.</w:t>
      </w:r>
      <w:r>
        <w:rPr>
          <w:rFonts w:ascii="Times New Roman" w:hAnsi="Times New Roman" w:cs="Times New Roman"/>
          <w:color w:val="000000"/>
          <w:sz w:val="26"/>
          <w:szCs w:val="26"/>
        </w:rPr>
        <w:t xml:space="preserve"> </w:t>
      </w:r>
      <w:r w:rsidR="00190604">
        <w:rPr>
          <w:rFonts w:ascii="Times New Roman" w:hAnsi="Times New Roman" w:cs="Times New Roman"/>
          <w:color w:val="000000"/>
          <w:sz w:val="26"/>
          <w:szCs w:val="26"/>
        </w:rPr>
        <w:t>Northern</w:t>
      </w:r>
      <w:r>
        <w:rPr>
          <w:rFonts w:ascii="Times New Roman" w:hAnsi="Times New Roman" w:cs="Times New Roman"/>
          <w:color w:val="000000"/>
          <w:sz w:val="26"/>
          <w:szCs w:val="26"/>
        </w:rPr>
        <w:t xml:space="preserve"> denied payment for losses totaling $648,024.30, alleging that such portion of the loss is excluded by the Policy. </w:t>
      </w:r>
      <w:r w:rsidR="00190604">
        <w:rPr>
          <w:rFonts w:ascii="Times New Roman" w:hAnsi="Times New Roman" w:cs="Times New Roman"/>
          <w:i/>
          <w:iCs/>
          <w:color w:val="000000"/>
          <w:sz w:val="26"/>
          <w:szCs w:val="26"/>
        </w:rPr>
        <w:t>Smith</w:t>
      </w:r>
      <w:r>
        <w:rPr>
          <w:rFonts w:ascii="Times New Roman" w:hAnsi="Times New Roman" w:cs="Times New Roman"/>
          <w:i/>
          <w:iCs/>
          <w:color w:val="000000"/>
          <w:sz w:val="26"/>
          <w:szCs w:val="26"/>
        </w:rPr>
        <w:t xml:space="preserve"> Decl. ¶16, 17; Branson Decl. ¶15.</w:t>
      </w:r>
      <w:r>
        <w:rPr>
          <w:rFonts w:ascii="Times New Roman" w:hAnsi="Times New Roman" w:cs="Times New Roman"/>
          <w:color w:val="000000"/>
          <w:sz w:val="26"/>
          <w:szCs w:val="26"/>
        </w:rPr>
        <w:t xml:space="preserve"> For </w:t>
      </w:r>
      <w:proofErr w:type="gramStart"/>
      <w:r>
        <w:rPr>
          <w:rFonts w:ascii="Times New Roman" w:hAnsi="Times New Roman" w:cs="Times New Roman"/>
          <w:color w:val="000000"/>
          <w:sz w:val="26"/>
          <w:szCs w:val="26"/>
        </w:rPr>
        <w:t>all of</w:t>
      </w:r>
      <w:proofErr w:type="gramEnd"/>
      <w:r>
        <w:rPr>
          <w:rFonts w:ascii="Times New Roman" w:hAnsi="Times New Roman" w:cs="Times New Roman"/>
          <w:color w:val="000000"/>
          <w:sz w:val="26"/>
          <w:szCs w:val="26"/>
        </w:rPr>
        <w:t xml:space="preserve"> the reasons stated below, </w:t>
      </w:r>
      <w:r w:rsidR="00190604">
        <w:rPr>
          <w:rFonts w:ascii="Times New Roman" w:hAnsi="Times New Roman" w:cs="Times New Roman"/>
          <w:color w:val="000000"/>
          <w:sz w:val="26"/>
          <w:szCs w:val="26"/>
        </w:rPr>
        <w:t>Roberts</w:t>
      </w:r>
      <w:r>
        <w:rPr>
          <w:rFonts w:ascii="Times New Roman" w:hAnsi="Times New Roman" w:cs="Times New Roman"/>
          <w:color w:val="000000"/>
          <w:sz w:val="26"/>
          <w:szCs w:val="26"/>
        </w:rPr>
        <w:t xml:space="preserve">’ motion must be granted and </w:t>
      </w:r>
      <w:proofErr w:type="spellStart"/>
      <w:r w:rsidR="00190604">
        <w:rPr>
          <w:rFonts w:ascii="Times New Roman" w:hAnsi="Times New Roman" w:cs="Times New Roman"/>
          <w:color w:val="000000"/>
          <w:sz w:val="26"/>
          <w:szCs w:val="26"/>
        </w:rPr>
        <w:t>Northern’s</w:t>
      </w:r>
      <w:proofErr w:type="spellEnd"/>
      <w:r>
        <w:rPr>
          <w:rFonts w:ascii="Times New Roman" w:hAnsi="Times New Roman" w:cs="Times New Roman"/>
          <w:color w:val="000000"/>
          <w:sz w:val="26"/>
          <w:szCs w:val="26"/>
        </w:rPr>
        <w:t xml:space="preserve"> motion must be denied.</w:t>
      </w:r>
    </w:p>
    <w:p w14:paraId="1C639B0B" w14:textId="77777777" w:rsidR="006F0DEA" w:rsidRDefault="007B3EEC">
      <w:pPr>
        <w:widowControl w:val="0"/>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w:t>
      </w:r>
    </w:p>
    <w:p w14:paraId="343FB8A8" w14:textId="77777777" w:rsidR="006F0DEA" w:rsidRDefault="007B3EEC">
      <w:pPr>
        <w:widowControl w:val="0"/>
        <w:autoSpaceDE w:val="0"/>
        <w:autoSpaceDN w:val="0"/>
        <w:adjustRightInd w:val="0"/>
        <w:spacing w:before="520" w:after="260" w:line="240" w:lineRule="auto"/>
        <w:jc w:val="center"/>
        <w:rPr>
          <w:rFonts w:ascii="Times New Roman" w:hAnsi="Times New Roman" w:cs="Times New Roman"/>
          <w:b/>
          <w:bCs/>
          <w:i/>
          <w:iCs/>
          <w:color w:val="000000"/>
          <w:sz w:val="26"/>
          <w:szCs w:val="26"/>
        </w:rPr>
      </w:pPr>
      <w:r>
        <w:rPr>
          <w:rFonts w:ascii="Times New Roman" w:hAnsi="Times New Roman" w:cs="Times New Roman"/>
          <w:b/>
          <w:bCs/>
          <w:i/>
          <w:iCs/>
          <w:color w:val="000000"/>
          <w:sz w:val="26"/>
          <w:szCs w:val="26"/>
        </w:rPr>
        <w:t>III. LEGAL ANALYSIS</w:t>
      </w:r>
    </w:p>
    <w:p w14:paraId="0B9BDFB3" w14:textId="77777777" w:rsidR="006F0DEA" w:rsidRDefault="007B3EEC">
      <w:pPr>
        <w:widowControl w:val="0"/>
        <w:autoSpaceDE w:val="0"/>
        <w:autoSpaceDN w:val="0"/>
        <w:adjustRightInd w:val="0"/>
        <w:spacing w:before="260" w:after="260" w:line="240" w:lineRule="auto"/>
        <w:jc w:val="center"/>
        <w:rPr>
          <w:rFonts w:ascii="Times New Roman" w:hAnsi="Times New Roman" w:cs="Times New Roman"/>
          <w:b/>
          <w:bCs/>
          <w:i/>
          <w:iCs/>
          <w:color w:val="000000"/>
          <w:sz w:val="26"/>
          <w:szCs w:val="26"/>
        </w:rPr>
      </w:pPr>
      <w:r>
        <w:rPr>
          <w:rFonts w:ascii="Times New Roman" w:hAnsi="Times New Roman" w:cs="Times New Roman"/>
          <w:b/>
          <w:bCs/>
          <w:i/>
          <w:iCs/>
          <w:color w:val="000000"/>
          <w:sz w:val="26"/>
          <w:szCs w:val="26"/>
        </w:rPr>
        <w:t>1. Burden of Proof - All Risks</w:t>
      </w:r>
    </w:p>
    <w:p w14:paraId="75E18142" w14:textId="5F0BF329" w:rsidR="006F0DEA" w:rsidRDefault="007B3EEC">
      <w:pPr>
        <w:widowControl w:val="0"/>
        <w:autoSpaceDE w:val="0"/>
        <w:autoSpaceDN w:val="0"/>
        <w:adjustRightInd w:val="0"/>
        <w:spacing w:after="0" w:line="240" w:lineRule="auto"/>
        <w:jc w:val="both"/>
        <w:rPr>
          <w:rFonts w:ascii="Times New Roman" w:hAnsi="Times New Roman" w:cs="Times New Roman"/>
          <w:i/>
          <w:iCs/>
          <w:color w:val="000000"/>
          <w:sz w:val="26"/>
          <w:szCs w:val="26"/>
        </w:rPr>
      </w:pPr>
      <w:r>
        <w:rPr>
          <w:rFonts w:ascii="Times New Roman" w:hAnsi="Times New Roman" w:cs="Times New Roman"/>
          <w:color w:val="000000"/>
          <w:sz w:val="26"/>
          <w:szCs w:val="26"/>
        </w:rPr>
        <w:t xml:space="preserve">As stated, </w:t>
      </w:r>
      <w:r w:rsidR="00190604">
        <w:rPr>
          <w:rFonts w:ascii="Times New Roman" w:hAnsi="Times New Roman" w:cs="Times New Roman"/>
          <w:color w:val="000000"/>
          <w:sz w:val="26"/>
          <w:szCs w:val="26"/>
        </w:rPr>
        <w:t>Roberts</w:t>
      </w:r>
      <w:r>
        <w:rPr>
          <w:rFonts w:ascii="Times New Roman" w:hAnsi="Times New Roman" w:cs="Times New Roman"/>
          <w:color w:val="000000"/>
          <w:sz w:val="26"/>
          <w:szCs w:val="26"/>
        </w:rPr>
        <w:t xml:space="preserve">’ goods stored in the New Jersey warehouse are covered by the Policy for all-risks. </w:t>
      </w:r>
      <w:r>
        <w:rPr>
          <w:rFonts w:ascii="Times New Roman" w:hAnsi="Times New Roman" w:cs="Times New Roman"/>
          <w:i/>
          <w:iCs/>
          <w:color w:val="000000"/>
          <w:sz w:val="26"/>
          <w:szCs w:val="26"/>
        </w:rPr>
        <w:t xml:space="preserve">Branson Decl. ¶ 17; </w:t>
      </w:r>
      <w:proofErr w:type="spellStart"/>
      <w:r>
        <w:rPr>
          <w:rFonts w:ascii="Times New Roman" w:hAnsi="Times New Roman" w:cs="Times New Roman"/>
          <w:i/>
          <w:iCs/>
          <w:color w:val="000000"/>
          <w:sz w:val="26"/>
          <w:szCs w:val="26"/>
        </w:rPr>
        <w:t>Carr</w:t>
      </w:r>
      <w:proofErr w:type="spellEnd"/>
      <w:r>
        <w:rPr>
          <w:rFonts w:ascii="Times New Roman" w:hAnsi="Times New Roman" w:cs="Times New Roman"/>
          <w:i/>
          <w:iCs/>
          <w:color w:val="000000"/>
          <w:sz w:val="26"/>
          <w:szCs w:val="26"/>
        </w:rPr>
        <w:t xml:space="preserve"> Decl. </w:t>
      </w:r>
      <w:proofErr w:type="spellStart"/>
      <w:r>
        <w:rPr>
          <w:rFonts w:ascii="Times New Roman" w:hAnsi="Times New Roman" w:cs="Times New Roman"/>
          <w:i/>
          <w:iCs/>
          <w:color w:val="000000"/>
          <w:sz w:val="26"/>
          <w:szCs w:val="26"/>
        </w:rPr>
        <w:t>Exh</w:t>
      </w:r>
      <w:proofErr w:type="spellEnd"/>
      <w:r>
        <w:rPr>
          <w:rFonts w:ascii="Times New Roman" w:hAnsi="Times New Roman" w:cs="Times New Roman"/>
          <w:i/>
          <w:iCs/>
          <w:color w:val="000000"/>
          <w:sz w:val="26"/>
          <w:szCs w:val="26"/>
        </w:rPr>
        <w:t xml:space="preserve">. A, pg. 86; </w:t>
      </w:r>
      <w:proofErr w:type="spellStart"/>
      <w:r>
        <w:rPr>
          <w:rFonts w:ascii="Times New Roman" w:hAnsi="Times New Roman" w:cs="Times New Roman"/>
          <w:i/>
          <w:iCs/>
          <w:color w:val="000000"/>
          <w:sz w:val="26"/>
          <w:szCs w:val="26"/>
        </w:rPr>
        <w:t>Carr</w:t>
      </w:r>
      <w:proofErr w:type="spellEnd"/>
      <w:r>
        <w:rPr>
          <w:rFonts w:ascii="Times New Roman" w:hAnsi="Times New Roman" w:cs="Times New Roman"/>
          <w:i/>
          <w:iCs/>
          <w:color w:val="000000"/>
          <w:sz w:val="26"/>
          <w:szCs w:val="26"/>
        </w:rPr>
        <w:t xml:space="preserve"> Decl. </w:t>
      </w:r>
      <w:proofErr w:type="spellStart"/>
      <w:r>
        <w:rPr>
          <w:rFonts w:ascii="Times New Roman" w:hAnsi="Times New Roman" w:cs="Times New Roman"/>
          <w:i/>
          <w:iCs/>
          <w:color w:val="000000"/>
          <w:sz w:val="26"/>
          <w:szCs w:val="26"/>
        </w:rPr>
        <w:t>Exh</w:t>
      </w:r>
      <w:proofErr w:type="spellEnd"/>
      <w:r>
        <w:rPr>
          <w:rFonts w:ascii="Times New Roman" w:hAnsi="Times New Roman" w:cs="Times New Roman"/>
          <w:i/>
          <w:iCs/>
          <w:color w:val="000000"/>
          <w:sz w:val="26"/>
          <w:szCs w:val="26"/>
        </w:rPr>
        <w:t xml:space="preserve">. C, </w:t>
      </w:r>
      <w:proofErr w:type="spellStart"/>
      <w:r>
        <w:rPr>
          <w:rFonts w:ascii="Times New Roman" w:hAnsi="Times New Roman" w:cs="Times New Roman"/>
          <w:i/>
          <w:iCs/>
          <w:color w:val="000000"/>
          <w:sz w:val="26"/>
          <w:szCs w:val="26"/>
        </w:rPr>
        <w:t>pg</w:t>
      </w:r>
      <w:proofErr w:type="spellEnd"/>
      <w:r>
        <w:rPr>
          <w:rFonts w:ascii="Times New Roman" w:hAnsi="Times New Roman" w:cs="Times New Roman"/>
          <w:i/>
          <w:iCs/>
          <w:color w:val="000000"/>
          <w:sz w:val="26"/>
          <w:szCs w:val="26"/>
        </w:rPr>
        <w:t xml:space="preserve"> 5.</w:t>
      </w:r>
    </w:p>
    <w:p w14:paraId="6728B9C2" w14:textId="77777777" w:rsidR="006F0DEA" w:rsidRDefault="007B3EEC">
      <w:pPr>
        <w:widowControl w:val="0"/>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An ‘all-risk’ policy creates a ‘special type of insurance extending to risks not usually contemplated, and recovery under the policy will generally be allowed, at least for all losses of a fortuitous nature, … unless the policy contains a specific provision expressly excluding the loss from coverage.</w:t>
      </w:r>
    </w:p>
    <w:p w14:paraId="206B4030" w14:textId="77777777" w:rsidR="006F0DEA" w:rsidRDefault="007B3EEC">
      <w:pPr>
        <w:widowControl w:val="0"/>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w:t>
      </w:r>
    </w:p>
    <w:p w14:paraId="4D8A3CD1" w14:textId="77777777" w:rsidR="006F0DEA" w:rsidRDefault="007B3EEC">
      <w:pPr>
        <w:widowControl w:val="0"/>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w:t>
      </w:r>
    </w:p>
    <w:p w14:paraId="4B4BED6D" w14:textId="5BB5C079" w:rsidR="006F0DEA" w:rsidRDefault="007B3EEC">
      <w:pPr>
        <w:widowControl w:val="0"/>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i/>
          <w:iCs/>
          <w:color w:val="000000"/>
          <w:sz w:val="26"/>
          <w:szCs w:val="26"/>
        </w:rPr>
        <w:t>Grossberg v. Chubb Insurance Co.</w:t>
      </w:r>
      <w:r>
        <w:rPr>
          <w:rFonts w:ascii="Times New Roman" w:hAnsi="Times New Roman" w:cs="Times New Roman"/>
          <w:color w:val="000000"/>
          <w:sz w:val="26"/>
          <w:szCs w:val="26"/>
        </w:rPr>
        <w:t xml:space="preserve">, A-3724-10T4, </w:t>
      </w:r>
      <w:hyperlink r:id="rId11" w:history="1">
        <w:r>
          <w:rPr>
            <w:rFonts w:ascii="Times New Roman" w:hAnsi="Times New Roman" w:cs="Times New Roman"/>
            <w:color w:val="0000FF"/>
            <w:sz w:val="26"/>
            <w:szCs w:val="26"/>
            <w:u w:val="single"/>
          </w:rPr>
          <w:t>2012 WL 3553002 (N.J. App. Aug. 20, 2012)</w:t>
        </w:r>
      </w:hyperlink>
      <w:r>
        <w:rPr>
          <w:rFonts w:ascii="Times New Roman" w:hAnsi="Times New Roman" w:cs="Times New Roman"/>
          <w:color w:val="000000"/>
          <w:sz w:val="26"/>
          <w:szCs w:val="26"/>
        </w:rPr>
        <w:t xml:space="preserve"> (internal citation omitted). Generally, it is the burden of the insured “to bring the claim within the basic terms of the policy.” </w:t>
      </w:r>
      <w:hyperlink r:id="rId12" w:anchor="co_pp_sp_162_733" w:history="1">
        <w:r>
          <w:rPr>
            <w:rFonts w:ascii="Times New Roman" w:hAnsi="Times New Roman" w:cs="Times New Roman"/>
            <w:i/>
            <w:iCs/>
            <w:color w:val="0000FF"/>
            <w:sz w:val="26"/>
            <w:szCs w:val="26"/>
            <w:u w:val="single"/>
          </w:rPr>
          <w:t>Wakefern Food Corp. v. Liberty Mut. Fire Ins. Co.</w:t>
        </w:r>
        <w:r>
          <w:rPr>
            <w:rFonts w:ascii="Times New Roman" w:hAnsi="Times New Roman" w:cs="Times New Roman"/>
            <w:color w:val="0000FF"/>
            <w:sz w:val="26"/>
            <w:szCs w:val="26"/>
            <w:u w:val="single"/>
          </w:rPr>
          <w:t>, 968 A.2d 724, 733 (NJ Super. Ct. App. Div. 2009)</w:t>
        </w:r>
      </w:hyperlink>
      <w:r>
        <w:rPr>
          <w:rFonts w:ascii="Times New Roman" w:hAnsi="Times New Roman" w:cs="Times New Roman"/>
          <w:color w:val="000000"/>
          <w:sz w:val="26"/>
          <w:szCs w:val="26"/>
        </w:rPr>
        <w:t xml:space="preserve">. Here, the applicable coverage provision in the </w:t>
      </w:r>
      <w:r w:rsidR="00190604">
        <w:rPr>
          <w:rFonts w:ascii="Times New Roman" w:hAnsi="Times New Roman" w:cs="Times New Roman"/>
          <w:color w:val="000000"/>
          <w:sz w:val="26"/>
          <w:szCs w:val="26"/>
        </w:rPr>
        <w:t>Roberts</w:t>
      </w:r>
      <w:r>
        <w:rPr>
          <w:rFonts w:ascii="Times New Roman" w:hAnsi="Times New Roman" w:cs="Times New Roman"/>
          <w:color w:val="000000"/>
          <w:sz w:val="26"/>
          <w:szCs w:val="26"/>
        </w:rPr>
        <w:t xml:space="preserve">’ Policy states in part that the goods “are insured against all risks of physical loss or damage from any external cause.” </w:t>
      </w:r>
      <w:proofErr w:type="spellStart"/>
      <w:r>
        <w:rPr>
          <w:rFonts w:ascii="Times New Roman" w:hAnsi="Times New Roman" w:cs="Times New Roman"/>
          <w:i/>
          <w:iCs/>
          <w:color w:val="000000"/>
          <w:sz w:val="26"/>
          <w:szCs w:val="26"/>
        </w:rPr>
        <w:t>Carr</w:t>
      </w:r>
      <w:proofErr w:type="spellEnd"/>
      <w:r>
        <w:rPr>
          <w:rFonts w:ascii="Times New Roman" w:hAnsi="Times New Roman" w:cs="Times New Roman"/>
          <w:i/>
          <w:iCs/>
          <w:color w:val="000000"/>
          <w:sz w:val="26"/>
          <w:szCs w:val="26"/>
        </w:rPr>
        <w:t xml:space="preserve"> Decl. </w:t>
      </w:r>
      <w:proofErr w:type="spellStart"/>
      <w:r>
        <w:rPr>
          <w:rFonts w:ascii="Times New Roman" w:hAnsi="Times New Roman" w:cs="Times New Roman"/>
          <w:i/>
          <w:iCs/>
          <w:color w:val="000000"/>
          <w:sz w:val="26"/>
          <w:szCs w:val="26"/>
        </w:rPr>
        <w:t>Exh</w:t>
      </w:r>
      <w:proofErr w:type="spellEnd"/>
      <w:r>
        <w:rPr>
          <w:rFonts w:ascii="Times New Roman" w:hAnsi="Times New Roman" w:cs="Times New Roman"/>
          <w:i/>
          <w:iCs/>
          <w:color w:val="000000"/>
          <w:sz w:val="26"/>
          <w:szCs w:val="26"/>
        </w:rPr>
        <w:t xml:space="preserve">. A, pg. 86; </w:t>
      </w:r>
      <w:proofErr w:type="spellStart"/>
      <w:r>
        <w:rPr>
          <w:rFonts w:ascii="Times New Roman" w:hAnsi="Times New Roman" w:cs="Times New Roman"/>
          <w:i/>
          <w:iCs/>
          <w:color w:val="000000"/>
          <w:sz w:val="26"/>
          <w:szCs w:val="26"/>
        </w:rPr>
        <w:t>Carr</w:t>
      </w:r>
      <w:proofErr w:type="spellEnd"/>
      <w:r>
        <w:rPr>
          <w:rFonts w:ascii="Times New Roman" w:hAnsi="Times New Roman" w:cs="Times New Roman"/>
          <w:i/>
          <w:iCs/>
          <w:color w:val="000000"/>
          <w:sz w:val="26"/>
          <w:szCs w:val="26"/>
        </w:rPr>
        <w:t xml:space="preserve"> Decl. </w:t>
      </w:r>
      <w:proofErr w:type="spellStart"/>
      <w:r>
        <w:rPr>
          <w:rFonts w:ascii="Times New Roman" w:hAnsi="Times New Roman" w:cs="Times New Roman"/>
          <w:i/>
          <w:iCs/>
          <w:color w:val="000000"/>
          <w:sz w:val="26"/>
          <w:szCs w:val="26"/>
        </w:rPr>
        <w:t>Exh</w:t>
      </w:r>
      <w:proofErr w:type="spellEnd"/>
      <w:r>
        <w:rPr>
          <w:rFonts w:ascii="Times New Roman" w:hAnsi="Times New Roman" w:cs="Times New Roman"/>
          <w:i/>
          <w:iCs/>
          <w:color w:val="000000"/>
          <w:sz w:val="26"/>
          <w:szCs w:val="26"/>
        </w:rPr>
        <w:t>. C, pg. 5.</w:t>
      </w:r>
      <w:r>
        <w:rPr>
          <w:rFonts w:ascii="Times New Roman" w:hAnsi="Times New Roman" w:cs="Times New Roman"/>
          <w:color w:val="000000"/>
          <w:sz w:val="26"/>
          <w:szCs w:val="26"/>
        </w:rPr>
        <w:t xml:space="preserve"> Under this all risks provision, </w:t>
      </w:r>
      <w:r w:rsidR="00190604">
        <w:rPr>
          <w:rFonts w:ascii="Times New Roman" w:hAnsi="Times New Roman" w:cs="Times New Roman"/>
          <w:color w:val="000000"/>
          <w:sz w:val="26"/>
          <w:szCs w:val="26"/>
        </w:rPr>
        <w:t>Roberts</w:t>
      </w:r>
      <w:r>
        <w:rPr>
          <w:rFonts w:ascii="Times New Roman" w:hAnsi="Times New Roman" w:cs="Times New Roman"/>
          <w:color w:val="000000"/>
          <w:sz w:val="26"/>
          <w:szCs w:val="26"/>
        </w:rPr>
        <w:t xml:space="preserve"> is afforded coverage for </w:t>
      </w:r>
      <w:proofErr w:type="gramStart"/>
      <w:r>
        <w:rPr>
          <w:rFonts w:ascii="Times New Roman" w:hAnsi="Times New Roman" w:cs="Times New Roman"/>
          <w:color w:val="000000"/>
          <w:sz w:val="26"/>
          <w:szCs w:val="26"/>
        </w:rPr>
        <w:t>all of</w:t>
      </w:r>
      <w:proofErr w:type="gramEnd"/>
      <w:r>
        <w:rPr>
          <w:rFonts w:ascii="Times New Roman" w:hAnsi="Times New Roman" w:cs="Times New Roman"/>
          <w:color w:val="000000"/>
          <w:sz w:val="26"/>
          <w:szCs w:val="26"/>
        </w:rPr>
        <w:t xml:space="preserve"> its losses as a result of Hurricane Sandy. </w:t>
      </w:r>
      <w:hyperlink r:id="rId13" w:anchor="co_pp_sp_590_87" w:history="1">
        <w:r>
          <w:rPr>
            <w:rFonts w:ascii="Times New Roman" w:hAnsi="Times New Roman" w:cs="Times New Roman"/>
            <w:i/>
            <w:iCs/>
            <w:color w:val="0000FF"/>
            <w:sz w:val="26"/>
            <w:szCs w:val="26"/>
            <w:u w:val="single"/>
          </w:rPr>
          <w:t>Victory Peach Group, Inc. v. Greater N.Y. Mut. Ins. Co.</w:t>
        </w:r>
        <w:r>
          <w:rPr>
            <w:rFonts w:ascii="Times New Roman" w:hAnsi="Times New Roman" w:cs="Times New Roman"/>
            <w:color w:val="0000FF"/>
            <w:sz w:val="26"/>
            <w:szCs w:val="26"/>
            <w:u w:val="single"/>
          </w:rPr>
          <w:t xml:space="preserve">, 310 </w:t>
        </w:r>
        <w:proofErr w:type="spellStart"/>
        <w:r>
          <w:rPr>
            <w:rFonts w:ascii="Times New Roman" w:hAnsi="Times New Roman" w:cs="Times New Roman"/>
            <w:color w:val="0000FF"/>
            <w:sz w:val="26"/>
            <w:szCs w:val="26"/>
            <w:u w:val="single"/>
          </w:rPr>
          <w:t>N.J.Super</w:t>
        </w:r>
        <w:proofErr w:type="spellEnd"/>
        <w:r>
          <w:rPr>
            <w:rFonts w:ascii="Times New Roman" w:hAnsi="Times New Roman" w:cs="Times New Roman"/>
            <w:color w:val="0000FF"/>
            <w:sz w:val="26"/>
            <w:szCs w:val="26"/>
            <w:u w:val="single"/>
          </w:rPr>
          <w:t>. 82, 87 (App.Div.1998)</w:t>
        </w:r>
      </w:hyperlink>
      <w:r>
        <w:rPr>
          <w:rFonts w:ascii="Times New Roman" w:hAnsi="Times New Roman" w:cs="Times New Roman"/>
          <w:color w:val="000000"/>
          <w:sz w:val="26"/>
          <w:szCs w:val="26"/>
        </w:rPr>
        <w:t xml:space="preserve"> (“all-risk” policy creates a “special type of insurance extending to risks not usually contemplated, and recovery under the policy will generally be allowed, at least for all losses of a fortuitous nature, in the absence of fraud or other intentional misconduct of the insured, unless the policy contains a specific provision expressly excluding the loss from coverage.” (quoting </w:t>
      </w:r>
      <w:hyperlink r:id="rId14" w:history="1">
        <w:r>
          <w:rPr>
            <w:rFonts w:ascii="Times New Roman" w:hAnsi="Times New Roman" w:cs="Times New Roman"/>
            <w:color w:val="0000FF"/>
            <w:sz w:val="26"/>
            <w:szCs w:val="26"/>
            <w:u w:val="single"/>
          </w:rPr>
          <w:t xml:space="preserve">43 </w:t>
        </w:r>
        <w:r>
          <w:rPr>
            <w:rFonts w:ascii="Times New Roman" w:hAnsi="Times New Roman" w:cs="Times New Roman"/>
            <w:i/>
            <w:iCs/>
            <w:color w:val="0000FF"/>
            <w:sz w:val="26"/>
            <w:szCs w:val="26"/>
            <w:u w:val="single"/>
          </w:rPr>
          <w:t>Am.Jur.2d Insurance</w:t>
        </w:r>
        <w:r>
          <w:rPr>
            <w:rFonts w:ascii="Times New Roman" w:hAnsi="Times New Roman" w:cs="Times New Roman"/>
            <w:color w:val="0000FF"/>
            <w:sz w:val="26"/>
            <w:szCs w:val="26"/>
            <w:u w:val="single"/>
          </w:rPr>
          <w:t xml:space="preserve"> § 505 (1982)</w:t>
        </w:r>
      </w:hyperlink>
      <w:r>
        <w:rPr>
          <w:rFonts w:ascii="Times New Roman" w:hAnsi="Times New Roman" w:cs="Times New Roman"/>
          <w:color w:val="000000"/>
          <w:sz w:val="26"/>
          <w:szCs w:val="26"/>
        </w:rPr>
        <w:t>)).</w:t>
      </w:r>
    </w:p>
    <w:p w14:paraId="3AE03DB9" w14:textId="77777777" w:rsidR="006F0DEA" w:rsidRDefault="007B3EEC">
      <w:pPr>
        <w:widowControl w:val="0"/>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w:t>
      </w:r>
    </w:p>
    <w:p w14:paraId="47ACB4DA" w14:textId="032A445B" w:rsidR="006F0DEA" w:rsidRDefault="007B3EEC">
      <w:pPr>
        <w:widowControl w:val="0"/>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lastRenderedPageBreak/>
        <w:t xml:space="preserve">There is no allegation of fraud or intentional misconduct against </w:t>
      </w:r>
      <w:r w:rsidR="00190604">
        <w:rPr>
          <w:rFonts w:ascii="Times New Roman" w:hAnsi="Times New Roman" w:cs="Times New Roman"/>
          <w:color w:val="000000"/>
          <w:sz w:val="26"/>
          <w:szCs w:val="26"/>
        </w:rPr>
        <w:t>Roberts</w:t>
      </w:r>
      <w:r>
        <w:rPr>
          <w:rFonts w:ascii="Times New Roman" w:hAnsi="Times New Roman" w:cs="Times New Roman"/>
          <w:color w:val="000000"/>
          <w:sz w:val="26"/>
          <w:szCs w:val="26"/>
        </w:rPr>
        <w:t xml:space="preserve"> for this loss. It is entitled to full coverage under the Policy.</w:t>
      </w:r>
    </w:p>
    <w:p w14:paraId="47A2F672" w14:textId="77777777" w:rsidR="006F0DEA" w:rsidRDefault="007B3EEC">
      <w:pPr>
        <w:widowControl w:val="0"/>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w:t>
      </w:r>
    </w:p>
    <w:p w14:paraId="51D558CB" w14:textId="77777777" w:rsidR="006F0DEA" w:rsidRDefault="007B3EEC">
      <w:pPr>
        <w:widowControl w:val="0"/>
        <w:autoSpaceDE w:val="0"/>
        <w:autoSpaceDN w:val="0"/>
        <w:adjustRightInd w:val="0"/>
        <w:spacing w:before="260" w:after="260" w:line="240" w:lineRule="auto"/>
        <w:jc w:val="center"/>
        <w:rPr>
          <w:rFonts w:ascii="Times New Roman" w:hAnsi="Times New Roman" w:cs="Times New Roman"/>
          <w:b/>
          <w:bCs/>
          <w:i/>
          <w:iCs/>
          <w:color w:val="000000"/>
          <w:sz w:val="26"/>
          <w:szCs w:val="26"/>
        </w:rPr>
      </w:pPr>
      <w:r>
        <w:rPr>
          <w:rFonts w:ascii="Times New Roman" w:hAnsi="Times New Roman" w:cs="Times New Roman"/>
          <w:b/>
          <w:bCs/>
          <w:i/>
          <w:iCs/>
          <w:color w:val="000000"/>
          <w:sz w:val="26"/>
          <w:szCs w:val="26"/>
        </w:rPr>
        <w:t>2. Burden of Proof - Exclusions</w:t>
      </w:r>
    </w:p>
    <w:p w14:paraId="00BC3460" w14:textId="792F52F1" w:rsidR="006F0DEA" w:rsidRDefault="007B3EEC">
      <w:pPr>
        <w:widowControl w:val="0"/>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Because </w:t>
      </w:r>
      <w:r w:rsidR="00190604">
        <w:rPr>
          <w:rFonts w:ascii="Times New Roman" w:hAnsi="Times New Roman" w:cs="Times New Roman"/>
          <w:color w:val="000000"/>
          <w:sz w:val="26"/>
          <w:szCs w:val="26"/>
        </w:rPr>
        <w:t>Roberts</w:t>
      </w:r>
      <w:r>
        <w:rPr>
          <w:rFonts w:ascii="Times New Roman" w:hAnsi="Times New Roman" w:cs="Times New Roman"/>
          <w:color w:val="000000"/>
          <w:sz w:val="26"/>
          <w:szCs w:val="26"/>
        </w:rPr>
        <w:t xml:space="preserve"> has brought its claim within the basic terms of the policy, it is </w:t>
      </w:r>
      <w:proofErr w:type="spellStart"/>
      <w:r w:rsidR="00190604">
        <w:rPr>
          <w:rFonts w:ascii="Times New Roman" w:hAnsi="Times New Roman" w:cs="Times New Roman"/>
          <w:color w:val="000000"/>
          <w:sz w:val="26"/>
          <w:szCs w:val="26"/>
        </w:rPr>
        <w:t>Northern’s</w:t>
      </w:r>
      <w:proofErr w:type="spellEnd"/>
      <w:r>
        <w:rPr>
          <w:rFonts w:ascii="Times New Roman" w:hAnsi="Times New Roman" w:cs="Times New Roman"/>
          <w:color w:val="000000"/>
          <w:sz w:val="26"/>
          <w:szCs w:val="26"/>
        </w:rPr>
        <w:t xml:space="preserve"> burden to establish that an exclusion or exception to coverage applies. </w:t>
      </w:r>
      <w:proofErr w:type="gramStart"/>
      <w:r>
        <w:rPr>
          <w:rFonts w:ascii="Times New Roman" w:hAnsi="Times New Roman" w:cs="Times New Roman"/>
          <w:color w:val="000000"/>
          <w:sz w:val="26"/>
          <w:szCs w:val="26"/>
        </w:rPr>
        <w:t>As a general rule</w:t>
      </w:r>
      <w:proofErr w:type="gramEnd"/>
      <w:r>
        <w:rPr>
          <w:rFonts w:ascii="Times New Roman" w:hAnsi="Times New Roman" w:cs="Times New Roman"/>
          <w:color w:val="000000"/>
          <w:sz w:val="26"/>
          <w:szCs w:val="26"/>
        </w:rPr>
        <w:t xml:space="preserve">, “insurance policy exclusions must be narrowly construed; the burden is on the insurer to bring the case within the exclusion (citations omitted). Policy exclusions are valid and will be applied only if the language of the exclusion is “specific, plain, clear, prominent and not contrary to public policy. </w:t>
      </w:r>
      <w:r>
        <w:rPr>
          <w:rFonts w:ascii="Times New Roman" w:hAnsi="Times New Roman" w:cs="Times New Roman"/>
          <w:i/>
          <w:iCs/>
          <w:color w:val="000000"/>
          <w:sz w:val="26"/>
          <w:szCs w:val="26"/>
        </w:rPr>
        <w:t>See id.</w:t>
      </w:r>
      <w:r>
        <w:rPr>
          <w:rFonts w:ascii="Times New Roman" w:hAnsi="Times New Roman" w:cs="Times New Roman"/>
          <w:color w:val="000000"/>
          <w:sz w:val="26"/>
          <w:szCs w:val="26"/>
        </w:rPr>
        <w:t xml:space="preserve"> The law holds:</w:t>
      </w:r>
    </w:p>
    <w:p w14:paraId="4F31E512" w14:textId="77777777" w:rsidR="006F0DEA" w:rsidRDefault="007B3EEC">
      <w:pPr>
        <w:widowControl w:val="0"/>
        <w:autoSpaceDE w:val="0"/>
        <w:autoSpaceDN w:val="0"/>
        <w:adjustRightInd w:val="0"/>
        <w:spacing w:before="400" w:after="400" w:line="240" w:lineRule="auto"/>
        <w:ind w:left="800" w:right="800"/>
        <w:jc w:val="both"/>
        <w:rPr>
          <w:rFonts w:ascii="Times New Roman" w:hAnsi="Times New Roman" w:cs="Times New Roman"/>
          <w:color w:val="000000"/>
          <w:sz w:val="26"/>
          <w:szCs w:val="26"/>
        </w:rPr>
      </w:pPr>
      <w:r>
        <w:rPr>
          <w:rFonts w:ascii="Times New Roman" w:hAnsi="Times New Roman" w:cs="Times New Roman"/>
          <w:color w:val="000000"/>
          <w:sz w:val="26"/>
          <w:szCs w:val="26"/>
        </w:rPr>
        <w:t>When the language of a policy supports two reasonable meanings, one favorable to the insurer and one favorable to the insured, the interpretation supporting coverage will be applied. Where an insurer claims the matter in dispute falls within exclusionary provisions of the policy, it bears the burden of establishing that claim. Coverage clauses are interpreted liberally, whereas exclusions are strictly construed.</w:t>
      </w:r>
    </w:p>
    <w:p w14:paraId="482DC519" w14:textId="77777777" w:rsidR="006F0DEA" w:rsidRDefault="007B3EEC">
      <w:pPr>
        <w:widowControl w:val="0"/>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w:t>
      </w:r>
    </w:p>
    <w:p w14:paraId="1EEF220E" w14:textId="77777777" w:rsidR="006F0DEA" w:rsidRDefault="007B3EEC">
      <w:pPr>
        <w:widowControl w:val="0"/>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w:t>
      </w:r>
    </w:p>
    <w:p w14:paraId="56FA41FC" w14:textId="77777777" w:rsidR="006F0DEA" w:rsidRDefault="00D31D90">
      <w:pPr>
        <w:widowControl w:val="0"/>
        <w:autoSpaceDE w:val="0"/>
        <w:autoSpaceDN w:val="0"/>
        <w:adjustRightInd w:val="0"/>
        <w:spacing w:after="0" w:line="240" w:lineRule="auto"/>
        <w:jc w:val="both"/>
        <w:rPr>
          <w:rFonts w:ascii="Times New Roman" w:hAnsi="Times New Roman" w:cs="Times New Roman"/>
          <w:color w:val="000000"/>
          <w:sz w:val="26"/>
          <w:szCs w:val="26"/>
        </w:rPr>
      </w:pPr>
      <w:hyperlink r:id="rId15" w:anchor="co_pp_sp_162_733" w:history="1">
        <w:r w:rsidR="007B3EEC">
          <w:rPr>
            <w:rFonts w:ascii="Times New Roman" w:hAnsi="Times New Roman" w:cs="Times New Roman"/>
            <w:i/>
            <w:iCs/>
            <w:color w:val="0000FF"/>
            <w:sz w:val="26"/>
            <w:szCs w:val="26"/>
            <w:u w:val="single"/>
          </w:rPr>
          <w:t>Wakefern Food Corp.</w:t>
        </w:r>
        <w:r w:rsidR="007B3EEC">
          <w:rPr>
            <w:rFonts w:ascii="Times New Roman" w:hAnsi="Times New Roman" w:cs="Times New Roman"/>
            <w:color w:val="0000FF"/>
            <w:sz w:val="26"/>
            <w:szCs w:val="26"/>
            <w:u w:val="single"/>
          </w:rPr>
          <w:t xml:space="preserve"> 968 A.2d at 733</w:t>
        </w:r>
      </w:hyperlink>
      <w:r w:rsidR="007B3EEC">
        <w:rPr>
          <w:rFonts w:ascii="Times New Roman" w:hAnsi="Times New Roman" w:cs="Times New Roman"/>
          <w:color w:val="000000"/>
          <w:sz w:val="26"/>
          <w:szCs w:val="26"/>
        </w:rPr>
        <w:t xml:space="preserve">; </w:t>
      </w:r>
      <w:r w:rsidR="007B3EEC">
        <w:rPr>
          <w:rFonts w:ascii="Times New Roman" w:hAnsi="Times New Roman" w:cs="Times New Roman"/>
          <w:i/>
          <w:iCs/>
          <w:color w:val="000000"/>
          <w:sz w:val="26"/>
          <w:szCs w:val="26"/>
        </w:rPr>
        <w:t xml:space="preserve">See also </w:t>
      </w:r>
      <w:hyperlink r:id="rId16" w:anchor="co_pp_sp_583_442" w:history="1">
        <w:proofErr w:type="spellStart"/>
        <w:r w:rsidR="007B3EEC">
          <w:rPr>
            <w:rFonts w:ascii="Times New Roman" w:hAnsi="Times New Roman" w:cs="Times New Roman"/>
            <w:i/>
            <w:iCs/>
            <w:color w:val="0000FF"/>
            <w:sz w:val="26"/>
            <w:szCs w:val="26"/>
            <w:u w:val="single"/>
          </w:rPr>
          <w:t>Flomerfelt</w:t>
        </w:r>
        <w:proofErr w:type="spellEnd"/>
        <w:r w:rsidR="007B3EEC">
          <w:rPr>
            <w:rFonts w:ascii="Times New Roman" w:hAnsi="Times New Roman" w:cs="Times New Roman"/>
            <w:i/>
            <w:iCs/>
            <w:color w:val="0000FF"/>
            <w:sz w:val="26"/>
            <w:szCs w:val="26"/>
            <w:u w:val="single"/>
          </w:rPr>
          <w:t xml:space="preserve"> v. </w:t>
        </w:r>
        <w:proofErr w:type="spellStart"/>
        <w:r w:rsidR="007B3EEC">
          <w:rPr>
            <w:rFonts w:ascii="Times New Roman" w:hAnsi="Times New Roman" w:cs="Times New Roman"/>
            <w:i/>
            <w:iCs/>
            <w:color w:val="0000FF"/>
            <w:sz w:val="26"/>
            <w:szCs w:val="26"/>
            <w:u w:val="single"/>
          </w:rPr>
          <w:t>Cardiello</w:t>
        </w:r>
        <w:proofErr w:type="spellEnd"/>
        <w:r w:rsidR="007B3EEC">
          <w:rPr>
            <w:rFonts w:ascii="Times New Roman" w:hAnsi="Times New Roman" w:cs="Times New Roman"/>
            <w:color w:val="0000FF"/>
            <w:sz w:val="26"/>
            <w:szCs w:val="26"/>
            <w:u w:val="single"/>
          </w:rPr>
          <w:t>, 202 N.J. 432, 442 (2010)</w:t>
        </w:r>
      </w:hyperlink>
      <w:r w:rsidR="007B3EEC">
        <w:rPr>
          <w:rFonts w:ascii="Times New Roman" w:hAnsi="Times New Roman" w:cs="Times New Roman"/>
          <w:color w:val="000000"/>
          <w:sz w:val="26"/>
          <w:szCs w:val="26"/>
        </w:rPr>
        <w:t xml:space="preserve"> (“[E]</w:t>
      </w:r>
      <w:proofErr w:type="spellStart"/>
      <w:r w:rsidR="007B3EEC">
        <w:rPr>
          <w:rFonts w:ascii="Times New Roman" w:hAnsi="Times New Roman" w:cs="Times New Roman"/>
          <w:color w:val="000000"/>
          <w:sz w:val="26"/>
          <w:szCs w:val="26"/>
        </w:rPr>
        <w:t>xclusions</w:t>
      </w:r>
      <w:proofErr w:type="spellEnd"/>
      <w:r w:rsidR="007B3EEC">
        <w:rPr>
          <w:rFonts w:ascii="Times New Roman" w:hAnsi="Times New Roman" w:cs="Times New Roman"/>
          <w:color w:val="000000"/>
          <w:sz w:val="26"/>
          <w:szCs w:val="26"/>
        </w:rPr>
        <w:t xml:space="preserve"> are ordinarily strictly construed against the insurer, and if there is more than one possible interpretation of the language, courts apply the meaning that supports coverage rather than the one that limits it.” (citations omitted)); </w:t>
      </w:r>
      <w:hyperlink r:id="rId17" w:anchor="co_pp_sp_273_406" w:history="1">
        <w:r w:rsidR="007B3EEC">
          <w:rPr>
            <w:rFonts w:ascii="Times New Roman" w:hAnsi="Times New Roman" w:cs="Times New Roman"/>
            <w:i/>
            <w:iCs/>
            <w:color w:val="0000FF"/>
            <w:sz w:val="26"/>
            <w:szCs w:val="26"/>
            <w:u w:val="single"/>
          </w:rPr>
          <w:t>Allstate Ins. Co. v. Barron</w:t>
        </w:r>
        <w:r w:rsidR="007B3EEC">
          <w:rPr>
            <w:rFonts w:ascii="Times New Roman" w:hAnsi="Times New Roman" w:cs="Times New Roman"/>
            <w:color w:val="0000FF"/>
            <w:sz w:val="26"/>
            <w:szCs w:val="26"/>
            <w:u w:val="single"/>
          </w:rPr>
          <w:t>, 269 Conn. 394, 406 (2004)</w:t>
        </w:r>
      </w:hyperlink>
      <w:r w:rsidR="007B3EEC">
        <w:rPr>
          <w:rFonts w:ascii="Times New Roman" w:hAnsi="Times New Roman" w:cs="Times New Roman"/>
          <w:color w:val="000000"/>
          <w:sz w:val="26"/>
          <w:szCs w:val="26"/>
        </w:rPr>
        <w:t xml:space="preserve"> (“‘[W]hen the words of an insurance contract are, without violence, susceptible of two [equally reasonable] interpretations, that which will sustain the claim and cover the loss must, in preference, be adopted .... [T]his rule of construction favorable to the insured extends to exclusion clauses.”’ (quoting </w:t>
      </w:r>
      <w:hyperlink r:id="rId18" w:anchor="co_pp_sp_273_796" w:history="1">
        <w:r w:rsidR="007B3EEC">
          <w:rPr>
            <w:rFonts w:ascii="Times New Roman" w:hAnsi="Times New Roman" w:cs="Times New Roman"/>
            <w:i/>
            <w:iCs/>
            <w:color w:val="0000FF"/>
            <w:sz w:val="26"/>
            <w:szCs w:val="26"/>
            <w:u w:val="single"/>
          </w:rPr>
          <w:t xml:space="preserve">Travelers Ins. Co. v. </w:t>
        </w:r>
        <w:proofErr w:type="spellStart"/>
        <w:r w:rsidR="007B3EEC">
          <w:rPr>
            <w:rFonts w:ascii="Times New Roman" w:hAnsi="Times New Roman" w:cs="Times New Roman"/>
            <w:i/>
            <w:iCs/>
            <w:color w:val="0000FF"/>
            <w:sz w:val="26"/>
            <w:szCs w:val="26"/>
            <w:u w:val="single"/>
          </w:rPr>
          <w:t>Namerow</w:t>
        </w:r>
        <w:proofErr w:type="spellEnd"/>
        <w:r w:rsidR="007B3EEC">
          <w:rPr>
            <w:rFonts w:ascii="Times New Roman" w:hAnsi="Times New Roman" w:cs="Times New Roman"/>
            <w:color w:val="0000FF"/>
            <w:sz w:val="26"/>
            <w:szCs w:val="26"/>
            <w:u w:val="single"/>
          </w:rPr>
          <w:t>, 261 Conn. 784, 796 (2002)</w:t>
        </w:r>
      </w:hyperlink>
      <w:r w:rsidR="007B3EEC">
        <w:rPr>
          <w:rFonts w:ascii="Times New Roman" w:hAnsi="Times New Roman" w:cs="Times New Roman"/>
          <w:color w:val="000000"/>
          <w:sz w:val="26"/>
          <w:szCs w:val="26"/>
        </w:rPr>
        <w:t>).</w:t>
      </w:r>
    </w:p>
    <w:p w14:paraId="59C244A6" w14:textId="77777777" w:rsidR="006F0DEA" w:rsidRDefault="007B3EEC">
      <w:pPr>
        <w:widowControl w:val="0"/>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w:t>
      </w:r>
    </w:p>
    <w:p w14:paraId="0CD087EC" w14:textId="13F7205A" w:rsidR="006F0DEA" w:rsidRDefault="007B3EEC">
      <w:pPr>
        <w:widowControl w:val="0"/>
        <w:autoSpaceDE w:val="0"/>
        <w:autoSpaceDN w:val="0"/>
        <w:adjustRightInd w:val="0"/>
        <w:spacing w:after="0" w:line="240" w:lineRule="auto"/>
        <w:jc w:val="both"/>
        <w:rPr>
          <w:rFonts w:ascii="Times New Roman" w:hAnsi="Times New Roman" w:cs="Times New Roman"/>
          <w:color w:val="000000"/>
          <w:sz w:val="20"/>
          <w:szCs w:val="20"/>
        </w:rPr>
      </w:pPr>
      <w:r>
        <w:rPr>
          <w:rFonts w:ascii="Times New Roman" w:hAnsi="Times New Roman" w:cs="Times New Roman"/>
          <w:color w:val="000000"/>
          <w:sz w:val="26"/>
          <w:szCs w:val="26"/>
        </w:rPr>
        <w:t xml:space="preserve">In order for </w:t>
      </w:r>
      <w:proofErr w:type="spellStart"/>
      <w:r w:rsidR="00190604">
        <w:rPr>
          <w:rFonts w:ascii="Times New Roman" w:hAnsi="Times New Roman" w:cs="Times New Roman"/>
          <w:color w:val="000000"/>
          <w:sz w:val="26"/>
          <w:szCs w:val="26"/>
        </w:rPr>
        <w:t>Northern’s</w:t>
      </w:r>
      <w:proofErr w:type="spellEnd"/>
      <w:r>
        <w:rPr>
          <w:rFonts w:ascii="Times New Roman" w:hAnsi="Times New Roman" w:cs="Times New Roman"/>
          <w:color w:val="000000"/>
          <w:sz w:val="26"/>
          <w:szCs w:val="26"/>
        </w:rPr>
        <w:t xml:space="preserve"> to meet its burden, it must establish that the language of its flood exclusion is specific, plain, clear and prominent and that the claim falls within the exclusion. </w:t>
      </w:r>
      <w:hyperlink r:id="rId19" w:anchor="co_pp_sp_590_539" w:history="1">
        <w:r>
          <w:rPr>
            <w:rFonts w:ascii="Times New Roman" w:hAnsi="Times New Roman" w:cs="Times New Roman"/>
            <w:i/>
            <w:iCs/>
            <w:color w:val="0000FF"/>
            <w:sz w:val="26"/>
            <w:szCs w:val="26"/>
            <w:u w:val="single"/>
          </w:rPr>
          <w:t>Wakefern Food Corp.</w:t>
        </w:r>
        <w:r>
          <w:rPr>
            <w:rFonts w:ascii="Times New Roman" w:hAnsi="Times New Roman" w:cs="Times New Roman"/>
            <w:color w:val="0000FF"/>
            <w:sz w:val="26"/>
            <w:szCs w:val="26"/>
            <w:u w:val="single"/>
          </w:rPr>
          <w:t>, 406 N.J. Super at 539</w:t>
        </w:r>
      </w:hyperlink>
      <w:r>
        <w:rPr>
          <w:rFonts w:ascii="Times New Roman" w:hAnsi="Times New Roman" w:cs="Times New Roman"/>
          <w:color w:val="000000"/>
          <w:sz w:val="26"/>
          <w:szCs w:val="26"/>
        </w:rPr>
        <w:t xml:space="preserve">. </w:t>
      </w:r>
      <w:r w:rsidR="00190604">
        <w:rPr>
          <w:rFonts w:ascii="Times New Roman" w:hAnsi="Times New Roman" w:cs="Times New Roman"/>
          <w:color w:val="000000"/>
          <w:sz w:val="26"/>
          <w:szCs w:val="26"/>
        </w:rPr>
        <w:t>Northern</w:t>
      </w:r>
      <w:r>
        <w:rPr>
          <w:rFonts w:ascii="Times New Roman" w:hAnsi="Times New Roman" w:cs="Times New Roman"/>
          <w:color w:val="000000"/>
          <w:sz w:val="26"/>
          <w:szCs w:val="26"/>
        </w:rPr>
        <w:t xml:space="preserve"> cannot meet its burden.</w:t>
      </w:r>
      <w:bookmarkStart w:id="2" w:name="co_tablefootnote_1_1"/>
      <w:bookmarkEnd w:id="2"/>
      <w:r>
        <w:rPr>
          <w:rFonts w:ascii="Times New Roman" w:hAnsi="Times New Roman" w:cs="Times New Roman"/>
          <w:color w:val="000000"/>
          <w:sz w:val="20"/>
          <w:szCs w:val="20"/>
        </w:rPr>
        <w:fldChar w:fldCharType="begin"/>
      </w:r>
      <w:r>
        <w:rPr>
          <w:rFonts w:ascii="Times New Roman" w:hAnsi="Times New Roman" w:cs="Times New Roman"/>
          <w:color w:val="000000"/>
          <w:sz w:val="20"/>
          <w:szCs w:val="20"/>
        </w:rPr>
        <w:instrText xml:space="preserve">HYPERLINK "#co_tablefootnoteblock_1_1" </w:instrText>
      </w:r>
      <w:r>
        <w:rPr>
          <w:rFonts w:ascii="Times New Roman" w:hAnsi="Times New Roman" w:cs="Times New Roman"/>
          <w:color w:val="000000"/>
          <w:sz w:val="20"/>
          <w:szCs w:val="20"/>
        </w:rPr>
        <w:fldChar w:fldCharType="separate"/>
      </w:r>
      <w:r>
        <w:rPr>
          <w:rFonts w:ascii="Times New Roman" w:hAnsi="Times New Roman" w:cs="Times New Roman"/>
          <w:color w:val="0000FF"/>
          <w:sz w:val="20"/>
          <w:szCs w:val="20"/>
          <w:u w:val="single"/>
          <w:vertAlign w:val="superscript"/>
        </w:rPr>
        <w:t>1</w:t>
      </w:r>
      <w:r>
        <w:rPr>
          <w:rFonts w:ascii="Times New Roman" w:hAnsi="Times New Roman" w:cs="Times New Roman"/>
          <w:color w:val="000000"/>
          <w:sz w:val="20"/>
          <w:szCs w:val="20"/>
        </w:rPr>
        <w:fldChar w:fldCharType="end"/>
      </w:r>
    </w:p>
    <w:p w14:paraId="36FB26A0" w14:textId="77777777" w:rsidR="006F0DEA" w:rsidRDefault="007B3EEC">
      <w:pPr>
        <w:widowControl w:val="0"/>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w:t>
      </w:r>
    </w:p>
    <w:tbl>
      <w:tblPr>
        <w:tblW w:w="0" w:type="auto"/>
        <w:tblLayout w:type="fixed"/>
        <w:tblCellMar>
          <w:left w:w="0" w:type="dxa"/>
          <w:right w:w="0" w:type="dxa"/>
        </w:tblCellMar>
        <w:tblLook w:val="0000" w:firstRow="0" w:lastRow="0" w:firstColumn="0" w:lastColumn="0" w:noHBand="0" w:noVBand="0"/>
      </w:tblPr>
      <w:tblGrid>
        <w:gridCol w:w="600"/>
        <w:gridCol w:w="9480"/>
      </w:tblGrid>
      <w:tr w:rsidR="006F0DEA" w14:paraId="5EC70EFE" w14:textId="77777777">
        <w:tc>
          <w:tcPr>
            <w:tcW w:w="600" w:type="dxa"/>
            <w:tcBorders>
              <w:top w:val="nil"/>
              <w:left w:val="nil"/>
              <w:bottom w:val="nil"/>
              <w:right w:val="nil"/>
            </w:tcBorders>
          </w:tcPr>
          <w:p w14:paraId="5C05A350" w14:textId="77777777" w:rsidR="006F0DEA" w:rsidRDefault="00D31D90">
            <w:pPr>
              <w:widowControl w:val="0"/>
              <w:autoSpaceDE w:val="0"/>
              <w:autoSpaceDN w:val="0"/>
              <w:adjustRightInd w:val="0"/>
              <w:spacing w:after="0" w:line="240" w:lineRule="auto"/>
              <w:rPr>
                <w:rFonts w:ascii="Times New Roman" w:hAnsi="Times New Roman" w:cs="Times New Roman"/>
                <w:color w:val="000000"/>
                <w:sz w:val="26"/>
                <w:szCs w:val="26"/>
              </w:rPr>
            </w:pPr>
            <w:hyperlink w:anchor="co_tablefootnote_1_1" w:history="1">
              <w:r w:rsidR="007B3EEC">
                <w:rPr>
                  <w:rFonts w:ascii="Times New Roman" w:hAnsi="Times New Roman" w:cs="Times New Roman"/>
                  <w:color w:val="0000FF"/>
                  <w:sz w:val="26"/>
                  <w:szCs w:val="26"/>
                  <w:u w:val="single"/>
                  <w:vertAlign w:val="superscript"/>
                </w:rPr>
                <w:t>1</w:t>
              </w:r>
            </w:hyperlink>
          </w:p>
          <w:p w14:paraId="5F571013" w14:textId="77777777" w:rsidR="006F0DEA" w:rsidRDefault="006F0DEA">
            <w:pPr>
              <w:widowControl w:val="0"/>
              <w:autoSpaceDE w:val="0"/>
              <w:autoSpaceDN w:val="0"/>
              <w:adjustRightInd w:val="0"/>
              <w:spacing w:after="0" w:line="240" w:lineRule="auto"/>
              <w:rPr>
                <w:rFonts w:ascii="Times New Roman" w:hAnsi="Times New Roman" w:cs="Times New Roman"/>
                <w:color w:val="000000"/>
                <w:sz w:val="26"/>
                <w:szCs w:val="26"/>
              </w:rPr>
            </w:pPr>
          </w:p>
        </w:tc>
        <w:tc>
          <w:tcPr>
            <w:tcW w:w="9480" w:type="dxa"/>
            <w:tcBorders>
              <w:top w:val="nil"/>
              <w:left w:val="nil"/>
              <w:bottom w:val="nil"/>
              <w:right w:val="nil"/>
            </w:tcBorders>
            <w:tcMar>
              <w:top w:w="130" w:type="dxa"/>
              <w:bottom w:w="130" w:type="dxa"/>
            </w:tcMar>
          </w:tcPr>
          <w:p w14:paraId="2A1084D7" w14:textId="16369090" w:rsidR="006F0DEA" w:rsidRDefault="00190604">
            <w:pPr>
              <w:widowControl w:val="0"/>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Roberts</w:t>
            </w:r>
            <w:r w:rsidR="007B3EEC">
              <w:rPr>
                <w:rFonts w:ascii="Times New Roman" w:hAnsi="Times New Roman" w:cs="Times New Roman"/>
                <w:color w:val="000000"/>
                <w:sz w:val="26"/>
                <w:szCs w:val="26"/>
              </w:rPr>
              <w:t xml:space="preserve"> concedes that New Jersey law applies to determine the applicability and interpretation of the flood exclusion in this case.</w:t>
            </w:r>
          </w:p>
          <w:p w14:paraId="56C50113" w14:textId="77777777" w:rsidR="006F0DEA" w:rsidRDefault="006F0DEA">
            <w:pPr>
              <w:widowControl w:val="0"/>
              <w:autoSpaceDE w:val="0"/>
              <w:autoSpaceDN w:val="0"/>
              <w:adjustRightInd w:val="0"/>
              <w:spacing w:after="0" w:line="240" w:lineRule="auto"/>
              <w:jc w:val="both"/>
              <w:rPr>
                <w:rFonts w:ascii="Times New Roman" w:hAnsi="Times New Roman" w:cs="Times New Roman"/>
                <w:color w:val="000000"/>
                <w:sz w:val="26"/>
                <w:szCs w:val="26"/>
              </w:rPr>
            </w:pPr>
          </w:p>
        </w:tc>
      </w:tr>
    </w:tbl>
    <w:p w14:paraId="1596FEFE" w14:textId="77777777" w:rsidR="006F0DEA" w:rsidRDefault="006F0DEA">
      <w:pPr>
        <w:widowControl w:val="0"/>
        <w:autoSpaceDE w:val="0"/>
        <w:autoSpaceDN w:val="0"/>
        <w:adjustRightInd w:val="0"/>
        <w:spacing w:after="0" w:line="240" w:lineRule="auto"/>
        <w:jc w:val="both"/>
        <w:rPr>
          <w:rFonts w:ascii="Times New Roman" w:hAnsi="Times New Roman" w:cs="Times New Roman"/>
          <w:color w:val="000000"/>
          <w:sz w:val="26"/>
          <w:szCs w:val="26"/>
        </w:rPr>
      </w:pPr>
    </w:p>
    <w:p w14:paraId="5CC10C25" w14:textId="77777777" w:rsidR="006F0DEA" w:rsidRDefault="007B3EEC">
      <w:pPr>
        <w:widowControl w:val="0"/>
        <w:autoSpaceDE w:val="0"/>
        <w:autoSpaceDN w:val="0"/>
        <w:adjustRightInd w:val="0"/>
        <w:spacing w:before="520" w:after="260" w:line="240" w:lineRule="auto"/>
        <w:jc w:val="center"/>
        <w:rPr>
          <w:rFonts w:ascii="Times New Roman" w:hAnsi="Times New Roman" w:cs="Times New Roman"/>
          <w:b/>
          <w:bCs/>
          <w:i/>
          <w:iCs/>
          <w:color w:val="000000"/>
          <w:sz w:val="26"/>
          <w:szCs w:val="26"/>
        </w:rPr>
      </w:pPr>
      <w:r>
        <w:rPr>
          <w:rFonts w:ascii="Times New Roman" w:hAnsi="Times New Roman" w:cs="Times New Roman"/>
          <w:b/>
          <w:bCs/>
          <w:i/>
          <w:iCs/>
          <w:color w:val="000000"/>
          <w:sz w:val="26"/>
          <w:szCs w:val="26"/>
        </w:rPr>
        <w:t>a. The Exclusion Does Not Apply.</w:t>
      </w:r>
    </w:p>
    <w:p w14:paraId="74FBD848" w14:textId="3E156C4A" w:rsidR="006F0DEA" w:rsidRDefault="00190604">
      <w:pPr>
        <w:widowControl w:val="0"/>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Northern</w:t>
      </w:r>
      <w:r w:rsidR="007B3EEC">
        <w:rPr>
          <w:rFonts w:ascii="Times New Roman" w:hAnsi="Times New Roman" w:cs="Times New Roman"/>
          <w:color w:val="000000"/>
          <w:sz w:val="26"/>
          <w:szCs w:val="26"/>
        </w:rPr>
        <w:t xml:space="preserve"> cannot meet its burden of proof that the exclusion for peril of flood applies to the loss </w:t>
      </w:r>
      <w:r w:rsidR="007B3EEC">
        <w:rPr>
          <w:rFonts w:ascii="Times New Roman" w:hAnsi="Times New Roman" w:cs="Times New Roman"/>
          <w:color w:val="000000"/>
          <w:sz w:val="26"/>
          <w:szCs w:val="26"/>
        </w:rPr>
        <w:lastRenderedPageBreak/>
        <w:t xml:space="preserve">here. As per the Warehouse Endorsement, the exclusion for peril of flood only applies when earth movement is the cause of loss and a flood </w:t>
      </w:r>
      <w:proofErr w:type="gramStart"/>
      <w:r w:rsidR="007B3EEC">
        <w:rPr>
          <w:rFonts w:ascii="Times New Roman" w:hAnsi="Times New Roman" w:cs="Times New Roman"/>
          <w:color w:val="000000"/>
          <w:sz w:val="26"/>
          <w:szCs w:val="26"/>
        </w:rPr>
        <w:t>results</w:t>
      </w:r>
      <w:proofErr w:type="gramEnd"/>
      <w:r w:rsidR="007B3EEC">
        <w:rPr>
          <w:rFonts w:ascii="Times New Roman" w:hAnsi="Times New Roman" w:cs="Times New Roman"/>
          <w:color w:val="000000"/>
          <w:sz w:val="26"/>
          <w:szCs w:val="26"/>
        </w:rPr>
        <w:t xml:space="preserve"> there from. Because the cause of </w:t>
      </w:r>
      <w:r>
        <w:rPr>
          <w:rFonts w:ascii="Times New Roman" w:hAnsi="Times New Roman" w:cs="Times New Roman"/>
          <w:color w:val="000000"/>
          <w:sz w:val="26"/>
          <w:szCs w:val="26"/>
        </w:rPr>
        <w:t>Roberts</w:t>
      </w:r>
      <w:r w:rsidR="007B3EEC">
        <w:rPr>
          <w:rFonts w:ascii="Times New Roman" w:hAnsi="Times New Roman" w:cs="Times New Roman"/>
          <w:color w:val="000000"/>
          <w:sz w:val="26"/>
          <w:szCs w:val="26"/>
        </w:rPr>
        <w:t>’ loss was a hurricane, the flood exclusion is not triggered.</w:t>
      </w:r>
    </w:p>
    <w:p w14:paraId="7CA5311F" w14:textId="77777777" w:rsidR="006F0DEA" w:rsidRDefault="007B3EEC">
      <w:pPr>
        <w:widowControl w:val="0"/>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w:t>
      </w:r>
    </w:p>
    <w:p w14:paraId="685A72E9" w14:textId="5BA5091B" w:rsidR="006F0DEA" w:rsidRDefault="007B3EEC">
      <w:pPr>
        <w:widowControl w:val="0"/>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The Warehouse Endorsement lists the exclusions that would apply here to bar coverage for </w:t>
      </w:r>
      <w:r w:rsidR="00190604">
        <w:rPr>
          <w:rFonts w:ascii="Times New Roman" w:hAnsi="Times New Roman" w:cs="Times New Roman"/>
          <w:color w:val="000000"/>
          <w:sz w:val="26"/>
          <w:szCs w:val="26"/>
        </w:rPr>
        <w:t>Roberts</w:t>
      </w:r>
      <w:r>
        <w:rPr>
          <w:rFonts w:ascii="Times New Roman" w:hAnsi="Times New Roman" w:cs="Times New Roman"/>
          <w:color w:val="000000"/>
          <w:sz w:val="26"/>
          <w:szCs w:val="26"/>
        </w:rPr>
        <w:t>’ goods stored in warehouses. It states, at page 1 ¶ 4 of that Endorsement:</w:t>
      </w:r>
    </w:p>
    <w:p w14:paraId="70F75033" w14:textId="77777777" w:rsidR="006F0DEA" w:rsidRDefault="007B3EEC">
      <w:pPr>
        <w:widowControl w:val="0"/>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w:t>
      </w:r>
    </w:p>
    <w:p w14:paraId="5ACCA285" w14:textId="77777777" w:rsidR="006F0DEA" w:rsidRDefault="007B3EEC">
      <w:pPr>
        <w:widowControl w:val="0"/>
        <w:autoSpaceDE w:val="0"/>
        <w:autoSpaceDN w:val="0"/>
        <w:adjustRightInd w:val="0"/>
        <w:spacing w:before="260"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TABLE</w:t>
      </w:r>
    </w:p>
    <w:p w14:paraId="7783BB07" w14:textId="18A23DCB" w:rsidR="006F0DEA" w:rsidRDefault="007B3EEC">
      <w:pPr>
        <w:widowControl w:val="0"/>
        <w:autoSpaceDE w:val="0"/>
        <w:autoSpaceDN w:val="0"/>
        <w:adjustRightInd w:val="0"/>
        <w:spacing w:before="260" w:after="0" w:line="240" w:lineRule="auto"/>
        <w:jc w:val="both"/>
        <w:rPr>
          <w:rFonts w:ascii="Times New Roman" w:hAnsi="Times New Roman" w:cs="Times New Roman"/>
          <w:color w:val="000000"/>
          <w:sz w:val="26"/>
          <w:szCs w:val="26"/>
        </w:rPr>
      </w:pPr>
      <w:proofErr w:type="spellStart"/>
      <w:r>
        <w:rPr>
          <w:rFonts w:ascii="Times New Roman" w:hAnsi="Times New Roman" w:cs="Times New Roman"/>
          <w:i/>
          <w:iCs/>
          <w:color w:val="000000"/>
          <w:sz w:val="26"/>
          <w:szCs w:val="26"/>
        </w:rPr>
        <w:t>Carr</w:t>
      </w:r>
      <w:proofErr w:type="spellEnd"/>
      <w:r>
        <w:rPr>
          <w:rFonts w:ascii="Times New Roman" w:hAnsi="Times New Roman" w:cs="Times New Roman"/>
          <w:i/>
          <w:iCs/>
          <w:color w:val="000000"/>
          <w:sz w:val="26"/>
          <w:szCs w:val="26"/>
        </w:rPr>
        <w:t xml:space="preserve"> Decl. </w:t>
      </w:r>
      <w:proofErr w:type="spellStart"/>
      <w:r>
        <w:rPr>
          <w:rFonts w:ascii="Times New Roman" w:hAnsi="Times New Roman" w:cs="Times New Roman"/>
          <w:i/>
          <w:iCs/>
          <w:color w:val="000000"/>
          <w:sz w:val="26"/>
          <w:szCs w:val="26"/>
        </w:rPr>
        <w:t>Exh</w:t>
      </w:r>
      <w:proofErr w:type="spellEnd"/>
      <w:r>
        <w:rPr>
          <w:rFonts w:ascii="Times New Roman" w:hAnsi="Times New Roman" w:cs="Times New Roman"/>
          <w:i/>
          <w:iCs/>
          <w:color w:val="000000"/>
          <w:sz w:val="26"/>
          <w:szCs w:val="26"/>
        </w:rPr>
        <w:t xml:space="preserve">. B, </w:t>
      </w:r>
      <w:proofErr w:type="spellStart"/>
      <w:r>
        <w:rPr>
          <w:rFonts w:ascii="Times New Roman" w:hAnsi="Times New Roman" w:cs="Times New Roman"/>
          <w:i/>
          <w:iCs/>
          <w:color w:val="000000"/>
          <w:sz w:val="26"/>
          <w:szCs w:val="26"/>
        </w:rPr>
        <w:t>pg</w:t>
      </w:r>
      <w:proofErr w:type="spellEnd"/>
      <w:r>
        <w:rPr>
          <w:rFonts w:ascii="Times New Roman" w:hAnsi="Times New Roman" w:cs="Times New Roman"/>
          <w:i/>
          <w:iCs/>
          <w:color w:val="000000"/>
          <w:sz w:val="26"/>
          <w:szCs w:val="26"/>
        </w:rPr>
        <w:t xml:space="preserve"> 1; </w:t>
      </w:r>
      <w:r w:rsidR="00190604">
        <w:rPr>
          <w:rFonts w:ascii="Times New Roman" w:hAnsi="Times New Roman" w:cs="Times New Roman"/>
          <w:i/>
          <w:iCs/>
          <w:color w:val="000000"/>
          <w:sz w:val="26"/>
          <w:szCs w:val="26"/>
        </w:rPr>
        <w:t>Orville</w:t>
      </w:r>
      <w:r>
        <w:rPr>
          <w:rFonts w:ascii="Times New Roman" w:hAnsi="Times New Roman" w:cs="Times New Roman"/>
          <w:i/>
          <w:iCs/>
          <w:color w:val="000000"/>
          <w:sz w:val="26"/>
          <w:szCs w:val="26"/>
        </w:rPr>
        <w:t xml:space="preserve"> Decl. </w:t>
      </w:r>
      <w:proofErr w:type="spellStart"/>
      <w:r>
        <w:rPr>
          <w:rFonts w:ascii="Times New Roman" w:hAnsi="Times New Roman" w:cs="Times New Roman"/>
          <w:i/>
          <w:iCs/>
          <w:color w:val="000000"/>
          <w:sz w:val="26"/>
          <w:szCs w:val="26"/>
        </w:rPr>
        <w:t>Exh</w:t>
      </w:r>
      <w:proofErr w:type="spellEnd"/>
      <w:r>
        <w:rPr>
          <w:rFonts w:ascii="Times New Roman" w:hAnsi="Times New Roman" w:cs="Times New Roman"/>
          <w:i/>
          <w:iCs/>
          <w:color w:val="000000"/>
          <w:sz w:val="26"/>
          <w:szCs w:val="26"/>
        </w:rPr>
        <w:t xml:space="preserve">. 2, </w:t>
      </w:r>
      <w:proofErr w:type="spellStart"/>
      <w:r>
        <w:rPr>
          <w:rFonts w:ascii="Times New Roman" w:hAnsi="Times New Roman" w:cs="Times New Roman"/>
          <w:i/>
          <w:iCs/>
          <w:color w:val="000000"/>
          <w:sz w:val="26"/>
          <w:szCs w:val="26"/>
        </w:rPr>
        <w:t>pg</w:t>
      </w:r>
      <w:proofErr w:type="spellEnd"/>
      <w:r>
        <w:rPr>
          <w:rFonts w:ascii="Times New Roman" w:hAnsi="Times New Roman" w:cs="Times New Roman"/>
          <w:i/>
          <w:iCs/>
          <w:color w:val="000000"/>
          <w:sz w:val="26"/>
          <w:szCs w:val="26"/>
        </w:rPr>
        <w:t xml:space="preserve"> 1.</w:t>
      </w:r>
      <w:r>
        <w:rPr>
          <w:rFonts w:ascii="Times New Roman" w:hAnsi="Times New Roman" w:cs="Times New Roman"/>
          <w:color w:val="000000"/>
          <w:sz w:val="26"/>
          <w:szCs w:val="26"/>
        </w:rPr>
        <w:t xml:space="preserve"> </w:t>
      </w:r>
      <w:proofErr w:type="gramStart"/>
      <w:r>
        <w:rPr>
          <w:rFonts w:ascii="Times New Roman" w:hAnsi="Times New Roman" w:cs="Times New Roman"/>
          <w:color w:val="000000"/>
          <w:sz w:val="26"/>
          <w:szCs w:val="26"/>
        </w:rPr>
        <w:t>All of</w:t>
      </w:r>
      <w:proofErr w:type="gramEnd"/>
      <w:r>
        <w:rPr>
          <w:rFonts w:ascii="Times New Roman" w:hAnsi="Times New Roman" w:cs="Times New Roman"/>
          <w:color w:val="000000"/>
          <w:sz w:val="26"/>
          <w:szCs w:val="26"/>
        </w:rPr>
        <w:t xml:space="preserve"> the locations that are covered by the Warehouse Endorsement are listed on page 2 of that Endorsement which includes the </w:t>
      </w:r>
      <w:proofErr w:type="spellStart"/>
      <w:r>
        <w:rPr>
          <w:rFonts w:ascii="Times New Roman" w:hAnsi="Times New Roman" w:cs="Times New Roman"/>
          <w:color w:val="000000"/>
          <w:sz w:val="26"/>
          <w:szCs w:val="26"/>
        </w:rPr>
        <w:t>Refrig</w:t>
      </w:r>
      <w:proofErr w:type="spellEnd"/>
      <w:r>
        <w:rPr>
          <w:rFonts w:ascii="Times New Roman" w:hAnsi="Times New Roman" w:cs="Times New Roman"/>
          <w:color w:val="000000"/>
          <w:sz w:val="26"/>
          <w:szCs w:val="26"/>
        </w:rPr>
        <w:t>-It Warehouse in S. Kearney, NJ. Below that list is a separate caption titled EARTH MOVEMENT SUBLIMIT &amp; DEDUCTIBLE. It reads as follows:</w:t>
      </w:r>
    </w:p>
    <w:p w14:paraId="13AAFF45" w14:textId="77777777" w:rsidR="006F0DEA" w:rsidRDefault="007B3EEC">
      <w:pPr>
        <w:widowControl w:val="0"/>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w:t>
      </w:r>
    </w:p>
    <w:p w14:paraId="220FBA22" w14:textId="77777777" w:rsidR="006F0DEA" w:rsidRDefault="007B3EEC">
      <w:pPr>
        <w:widowControl w:val="0"/>
        <w:autoSpaceDE w:val="0"/>
        <w:autoSpaceDN w:val="0"/>
        <w:adjustRightInd w:val="0"/>
        <w:spacing w:before="260"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TABLE</w:t>
      </w:r>
    </w:p>
    <w:p w14:paraId="50646971" w14:textId="77777777" w:rsidR="006F0DEA" w:rsidRDefault="007B3EEC">
      <w:pPr>
        <w:widowControl w:val="0"/>
        <w:autoSpaceDE w:val="0"/>
        <w:autoSpaceDN w:val="0"/>
        <w:adjustRightInd w:val="0"/>
        <w:spacing w:before="260"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It is under this caption (Earth Movement Sublimit &amp; Deductible), under the subheading for </w:t>
      </w:r>
      <w:r>
        <w:rPr>
          <w:rFonts w:ascii="Times New Roman" w:hAnsi="Times New Roman" w:cs="Times New Roman"/>
          <w:i/>
          <w:iCs/>
          <w:color w:val="000000"/>
          <w:sz w:val="26"/>
          <w:szCs w:val="26"/>
        </w:rPr>
        <w:t>DEDUCTIBLE</w:t>
      </w:r>
      <w:r>
        <w:rPr>
          <w:rFonts w:ascii="Times New Roman" w:hAnsi="Times New Roman" w:cs="Times New Roman"/>
          <w:color w:val="000000"/>
          <w:sz w:val="26"/>
          <w:szCs w:val="26"/>
        </w:rPr>
        <w:t xml:space="preserve">, where the exclusion for peril of flood is listed. This separate sublimit and deductible, by its terms, applies to the “above locations” which include the </w:t>
      </w:r>
      <w:proofErr w:type="spellStart"/>
      <w:r>
        <w:rPr>
          <w:rFonts w:ascii="Times New Roman" w:hAnsi="Times New Roman" w:cs="Times New Roman"/>
          <w:color w:val="000000"/>
          <w:sz w:val="26"/>
          <w:szCs w:val="26"/>
        </w:rPr>
        <w:t>Refrig</w:t>
      </w:r>
      <w:proofErr w:type="spellEnd"/>
      <w:r>
        <w:rPr>
          <w:rFonts w:ascii="Times New Roman" w:hAnsi="Times New Roman" w:cs="Times New Roman"/>
          <w:color w:val="000000"/>
          <w:sz w:val="26"/>
          <w:szCs w:val="26"/>
        </w:rPr>
        <w:t xml:space="preserve">-It Warehouse and apply, by its terms, “to loss to covered goods caused by earth movement.” Earth movement is defined. The </w:t>
      </w:r>
      <w:r>
        <w:rPr>
          <w:rFonts w:ascii="Times New Roman" w:hAnsi="Times New Roman" w:cs="Times New Roman"/>
          <w:i/>
          <w:iCs/>
          <w:color w:val="000000"/>
          <w:sz w:val="26"/>
          <w:szCs w:val="26"/>
        </w:rPr>
        <w:t>SUBLIMIT</w:t>
      </w:r>
      <w:r>
        <w:rPr>
          <w:rFonts w:ascii="Times New Roman" w:hAnsi="Times New Roman" w:cs="Times New Roman"/>
          <w:color w:val="000000"/>
          <w:sz w:val="26"/>
          <w:szCs w:val="26"/>
        </w:rPr>
        <w:t xml:space="preserve"> is clearly stated. The </w:t>
      </w:r>
      <w:r>
        <w:rPr>
          <w:rFonts w:ascii="Times New Roman" w:hAnsi="Times New Roman" w:cs="Times New Roman"/>
          <w:i/>
          <w:iCs/>
          <w:color w:val="000000"/>
          <w:sz w:val="26"/>
          <w:szCs w:val="26"/>
        </w:rPr>
        <w:t>DEDUCTIBLE</w:t>
      </w:r>
      <w:r>
        <w:rPr>
          <w:rFonts w:ascii="Times New Roman" w:hAnsi="Times New Roman" w:cs="Times New Roman"/>
          <w:color w:val="000000"/>
          <w:sz w:val="26"/>
          <w:szCs w:val="26"/>
        </w:rPr>
        <w:t xml:space="preserve"> is also clearly stated. Thereafter, under the </w:t>
      </w:r>
      <w:r>
        <w:rPr>
          <w:rFonts w:ascii="Times New Roman" w:hAnsi="Times New Roman" w:cs="Times New Roman"/>
          <w:i/>
          <w:iCs/>
          <w:color w:val="000000"/>
          <w:sz w:val="26"/>
          <w:szCs w:val="26"/>
        </w:rPr>
        <w:t>DEDUCTIBLE</w:t>
      </w:r>
      <w:r>
        <w:rPr>
          <w:rFonts w:ascii="Times New Roman" w:hAnsi="Times New Roman" w:cs="Times New Roman"/>
          <w:color w:val="000000"/>
          <w:sz w:val="26"/>
          <w:szCs w:val="26"/>
        </w:rPr>
        <w:t xml:space="preserve">, appears the flood exclusion. By its own terms, the flood exclusion would apply to the </w:t>
      </w:r>
      <w:proofErr w:type="spellStart"/>
      <w:r>
        <w:rPr>
          <w:rFonts w:ascii="Times New Roman" w:hAnsi="Times New Roman" w:cs="Times New Roman"/>
          <w:color w:val="000000"/>
          <w:sz w:val="26"/>
          <w:szCs w:val="26"/>
        </w:rPr>
        <w:t>Refrig</w:t>
      </w:r>
      <w:proofErr w:type="spellEnd"/>
      <w:r>
        <w:rPr>
          <w:rFonts w:ascii="Times New Roman" w:hAnsi="Times New Roman" w:cs="Times New Roman"/>
          <w:color w:val="000000"/>
          <w:sz w:val="26"/>
          <w:szCs w:val="26"/>
        </w:rPr>
        <w:t xml:space="preserve">-It Warehouse when a flood is caused by earth movement at that location. That is not what happened </w:t>
      </w:r>
      <w:proofErr w:type="gramStart"/>
      <w:r>
        <w:rPr>
          <w:rFonts w:ascii="Times New Roman" w:hAnsi="Times New Roman" w:cs="Times New Roman"/>
          <w:color w:val="000000"/>
          <w:sz w:val="26"/>
          <w:szCs w:val="26"/>
        </w:rPr>
        <w:t>here</w:t>
      </w:r>
      <w:proofErr w:type="gramEnd"/>
      <w:r>
        <w:rPr>
          <w:rFonts w:ascii="Times New Roman" w:hAnsi="Times New Roman" w:cs="Times New Roman"/>
          <w:color w:val="000000"/>
          <w:sz w:val="26"/>
          <w:szCs w:val="26"/>
        </w:rPr>
        <w:t xml:space="preserve"> and the flood exclusion is not triggered.</w:t>
      </w:r>
    </w:p>
    <w:p w14:paraId="372DEBA5" w14:textId="77777777" w:rsidR="006F0DEA" w:rsidRDefault="007B3EEC">
      <w:pPr>
        <w:widowControl w:val="0"/>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w:t>
      </w:r>
    </w:p>
    <w:p w14:paraId="77B5D960" w14:textId="23E6086F" w:rsidR="006F0DEA" w:rsidRDefault="00190604">
      <w:pPr>
        <w:widowControl w:val="0"/>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Northern</w:t>
      </w:r>
      <w:r w:rsidR="007B3EEC">
        <w:rPr>
          <w:rFonts w:ascii="Times New Roman" w:hAnsi="Times New Roman" w:cs="Times New Roman"/>
          <w:color w:val="000000"/>
          <w:sz w:val="26"/>
          <w:szCs w:val="26"/>
        </w:rPr>
        <w:t xml:space="preserve"> argues that the flood exclusion, although not listed on the first page of the Warehouse Endorsement with the rest of the exclusions, still applies here. They are wrong. </w:t>
      </w:r>
      <w:r>
        <w:rPr>
          <w:rFonts w:ascii="Times New Roman" w:hAnsi="Times New Roman" w:cs="Times New Roman"/>
          <w:color w:val="000000"/>
          <w:sz w:val="26"/>
          <w:szCs w:val="26"/>
        </w:rPr>
        <w:t>Roberts</w:t>
      </w:r>
      <w:r w:rsidR="007B3EEC">
        <w:rPr>
          <w:rFonts w:ascii="Times New Roman" w:hAnsi="Times New Roman" w:cs="Times New Roman"/>
          <w:color w:val="000000"/>
          <w:sz w:val="26"/>
          <w:szCs w:val="26"/>
        </w:rPr>
        <w:t xml:space="preserve">’ interpretation of the Policy terms is the correct one. </w:t>
      </w:r>
      <w:r w:rsidR="007B3EEC">
        <w:rPr>
          <w:rFonts w:ascii="Times New Roman" w:hAnsi="Times New Roman" w:cs="Times New Roman"/>
          <w:i/>
          <w:iCs/>
          <w:color w:val="000000"/>
          <w:sz w:val="26"/>
          <w:szCs w:val="26"/>
        </w:rPr>
        <w:t>See supra</w:t>
      </w:r>
      <w:r w:rsidR="007B3EEC">
        <w:rPr>
          <w:rFonts w:ascii="Times New Roman" w:hAnsi="Times New Roman" w:cs="Times New Roman"/>
          <w:color w:val="000000"/>
          <w:sz w:val="26"/>
          <w:szCs w:val="26"/>
        </w:rPr>
        <w:t xml:space="preserve"> at 6.</w:t>
      </w:r>
    </w:p>
    <w:p w14:paraId="1661402C" w14:textId="77777777" w:rsidR="006F0DEA" w:rsidRDefault="007B3EEC">
      <w:pPr>
        <w:widowControl w:val="0"/>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w:t>
      </w:r>
    </w:p>
    <w:p w14:paraId="2BE79B0C" w14:textId="4D181565" w:rsidR="006F0DEA" w:rsidRDefault="007B3EEC">
      <w:pPr>
        <w:widowControl w:val="0"/>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If </w:t>
      </w:r>
      <w:r w:rsidR="00190604">
        <w:rPr>
          <w:rFonts w:ascii="Times New Roman" w:hAnsi="Times New Roman" w:cs="Times New Roman"/>
          <w:color w:val="000000"/>
          <w:sz w:val="26"/>
          <w:szCs w:val="26"/>
        </w:rPr>
        <w:t>Northern</w:t>
      </w:r>
      <w:r>
        <w:rPr>
          <w:rFonts w:ascii="Times New Roman" w:hAnsi="Times New Roman" w:cs="Times New Roman"/>
          <w:color w:val="000000"/>
          <w:sz w:val="26"/>
          <w:szCs w:val="26"/>
        </w:rPr>
        <w:t xml:space="preserve"> truly wanted to exclude coverage for flood, it could have included it under paragraph 4 on page 1 as subparagraph d. </w:t>
      </w:r>
      <w:r w:rsidR="00190604">
        <w:rPr>
          <w:rFonts w:ascii="Times New Roman" w:hAnsi="Times New Roman" w:cs="Times New Roman"/>
          <w:color w:val="000000"/>
          <w:sz w:val="26"/>
          <w:szCs w:val="26"/>
        </w:rPr>
        <w:t>Northern</w:t>
      </w:r>
      <w:r>
        <w:rPr>
          <w:rFonts w:ascii="Times New Roman" w:hAnsi="Times New Roman" w:cs="Times New Roman"/>
          <w:color w:val="000000"/>
          <w:sz w:val="26"/>
          <w:szCs w:val="26"/>
        </w:rPr>
        <w:t xml:space="preserve"> did not. It is bound by the terms of its Policy. The flood exclusion is not triggered. </w:t>
      </w:r>
      <w:proofErr w:type="spellStart"/>
      <w:r w:rsidR="00190604">
        <w:rPr>
          <w:rFonts w:ascii="Times New Roman" w:hAnsi="Times New Roman" w:cs="Times New Roman"/>
          <w:color w:val="000000"/>
          <w:sz w:val="26"/>
          <w:szCs w:val="26"/>
        </w:rPr>
        <w:t>Northern’s</w:t>
      </w:r>
      <w:proofErr w:type="spellEnd"/>
      <w:r>
        <w:rPr>
          <w:rFonts w:ascii="Times New Roman" w:hAnsi="Times New Roman" w:cs="Times New Roman"/>
          <w:color w:val="000000"/>
          <w:sz w:val="26"/>
          <w:szCs w:val="26"/>
        </w:rPr>
        <w:t xml:space="preserve"> motion must be denied. </w:t>
      </w:r>
      <w:r w:rsidR="00190604">
        <w:rPr>
          <w:rFonts w:ascii="Times New Roman" w:hAnsi="Times New Roman" w:cs="Times New Roman"/>
          <w:color w:val="000000"/>
          <w:sz w:val="26"/>
          <w:szCs w:val="26"/>
        </w:rPr>
        <w:t>Roberts</w:t>
      </w:r>
      <w:r>
        <w:rPr>
          <w:rFonts w:ascii="Times New Roman" w:hAnsi="Times New Roman" w:cs="Times New Roman"/>
          <w:color w:val="000000"/>
          <w:sz w:val="26"/>
          <w:szCs w:val="26"/>
        </w:rPr>
        <w:t xml:space="preserve"> motion must be granted.</w:t>
      </w:r>
    </w:p>
    <w:p w14:paraId="6F33E4A3" w14:textId="77777777" w:rsidR="006F0DEA" w:rsidRDefault="007B3EEC">
      <w:pPr>
        <w:widowControl w:val="0"/>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w:t>
      </w:r>
    </w:p>
    <w:p w14:paraId="34D733C8" w14:textId="77777777" w:rsidR="006F0DEA" w:rsidRDefault="007B3EEC">
      <w:pPr>
        <w:widowControl w:val="0"/>
        <w:autoSpaceDE w:val="0"/>
        <w:autoSpaceDN w:val="0"/>
        <w:adjustRightInd w:val="0"/>
        <w:spacing w:before="520" w:after="260" w:line="240" w:lineRule="auto"/>
        <w:jc w:val="center"/>
        <w:rPr>
          <w:rFonts w:ascii="Times New Roman" w:hAnsi="Times New Roman" w:cs="Times New Roman"/>
          <w:b/>
          <w:bCs/>
          <w:i/>
          <w:iCs/>
          <w:color w:val="000000"/>
          <w:sz w:val="26"/>
          <w:szCs w:val="26"/>
        </w:rPr>
      </w:pPr>
      <w:r>
        <w:rPr>
          <w:rFonts w:ascii="Times New Roman" w:hAnsi="Times New Roman" w:cs="Times New Roman"/>
          <w:b/>
          <w:bCs/>
          <w:i/>
          <w:iCs/>
          <w:color w:val="000000"/>
          <w:sz w:val="26"/>
          <w:szCs w:val="26"/>
        </w:rPr>
        <w:t>b. The Flood Exclusion Is Subject to Multiple Interpretations</w:t>
      </w:r>
    </w:p>
    <w:p w14:paraId="3EEA4F28" w14:textId="6AF57557" w:rsidR="006F0DEA" w:rsidRDefault="007B3EEC">
      <w:pPr>
        <w:widowControl w:val="0"/>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Even if the Court accepts Traveler’s argument that the flood exclusion is not limited to losses caused by earth movement, as set out at page 2 of the Warehouse Endorsement, the Court must still find that the flood exclusion is ambiguous. </w:t>
      </w:r>
      <w:r w:rsidR="00190604">
        <w:rPr>
          <w:rFonts w:ascii="Times New Roman" w:hAnsi="Times New Roman" w:cs="Times New Roman"/>
          <w:color w:val="000000"/>
          <w:sz w:val="26"/>
          <w:szCs w:val="26"/>
        </w:rPr>
        <w:t>Roberts</w:t>
      </w:r>
      <w:r>
        <w:rPr>
          <w:rFonts w:ascii="Times New Roman" w:hAnsi="Times New Roman" w:cs="Times New Roman"/>
          <w:color w:val="000000"/>
          <w:sz w:val="26"/>
          <w:szCs w:val="26"/>
        </w:rPr>
        <w:t xml:space="preserve">’ interpretation of this exclusion, as just stated, is completely reasonable. It is also evident that </w:t>
      </w:r>
      <w:proofErr w:type="spellStart"/>
      <w:r w:rsidR="00190604">
        <w:rPr>
          <w:rFonts w:ascii="Times New Roman" w:hAnsi="Times New Roman" w:cs="Times New Roman"/>
          <w:color w:val="000000"/>
          <w:sz w:val="26"/>
          <w:szCs w:val="26"/>
        </w:rPr>
        <w:t>Northern’s</w:t>
      </w:r>
      <w:proofErr w:type="spellEnd"/>
      <w:r>
        <w:rPr>
          <w:rFonts w:ascii="Times New Roman" w:hAnsi="Times New Roman" w:cs="Times New Roman"/>
          <w:color w:val="000000"/>
          <w:sz w:val="26"/>
          <w:szCs w:val="26"/>
        </w:rPr>
        <w:t xml:space="preserve"> proposed interpretation of the flood exclusion is not the only possible construction. These differing interpretations create a glaring ambiguity which requires that the Policy language be interpreted in favor of </w:t>
      </w:r>
      <w:r w:rsidR="00190604">
        <w:rPr>
          <w:rFonts w:ascii="Times New Roman" w:hAnsi="Times New Roman" w:cs="Times New Roman"/>
          <w:color w:val="000000"/>
          <w:sz w:val="26"/>
          <w:szCs w:val="26"/>
        </w:rPr>
        <w:t>Roberts</w:t>
      </w:r>
      <w:r>
        <w:rPr>
          <w:rFonts w:ascii="Times New Roman" w:hAnsi="Times New Roman" w:cs="Times New Roman"/>
          <w:color w:val="000000"/>
          <w:sz w:val="26"/>
          <w:szCs w:val="26"/>
        </w:rPr>
        <w:t>.</w:t>
      </w:r>
    </w:p>
    <w:p w14:paraId="3DEB80A8" w14:textId="77777777" w:rsidR="006F0DEA" w:rsidRDefault="007B3EEC">
      <w:pPr>
        <w:widowControl w:val="0"/>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w:t>
      </w:r>
    </w:p>
    <w:p w14:paraId="0EB37FAE" w14:textId="77777777" w:rsidR="006F0DEA" w:rsidRDefault="007B3EEC">
      <w:pPr>
        <w:widowControl w:val="0"/>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lastRenderedPageBreak/>
        <w:t xml:space="preserve">The case of </w:t>
      </w:r>
      <w:hyperlink r:id="rId20" w:history="1">
        <w:r>
          <w:rPr>
            <w:rFonts w:ascii="Times New Roman" w:hAnsi="Times New Roman" w:cs="Times New Roman"/>
            <w:i/>
            <w:iCs/>
            <w:color w:val="0000FF"/>
            <w:sz w:val="26"/>
            <w:szCs w:val="26"/>
            <w:u w:val="single"/>
          </w:rPr>
          <w:t>Royal Ins. Co. of America v. KSI Trading Corp.</w:t>
        </w:r>
        <w:r>
          <w:rPr>
            <w:rFonts w:ascii="Times New Roman" w:hAnsi="Times New Roman" w:cs="Times New Roman"/>
            <w:color w:val="0000FF"/>
            <w:sz w:val="26"/>
            <w:szCs w:val="26"/>
            <w:u w:val="single"/>
          </w:rPr>
          <w:t>, 563 F.3d 68 (3d Cir. 2009)</w:t>
        </w:r>
      </w:hyperlink>
      <w:r>
        <w:rPr>
          <w:rFonts w:ascii="Times New Roman" w:hAnsi="Times New Roman" w:cs="Times New Roman"/>
          <w:color w:val="000000"/>
          <w:sz w:val="26"/>
          <w:szCs w:val="26"/>
        </w:rPr>
        <w:t xml:space="preserve">, is particularly instructive. In that case, the underwriter issued a </w:t>
      </w:r>
      <w:r>
        <w:rPr>
          <w:rFonts w:ascii="Times New Roman" w:hAnsi="Times New Roman" w:cs="Times New Roman"/>
          <w:i/>
          <w:iCs/>
          <w:color w:val="000000"/>
          <w:sz w:val="26"/>
          <w:szCs w:val="26"/>
        </w:rPr>
        <w:t>marine open cargo policy</w:t>
      </w:r>
      <w:r>
        <w:rPr>
          <w:rFonts w:ascii="Times New Roman" w:hAnsi="Times New Roman" w:cs="Times New Roman"/>
          <w:color w:val="000000"/>
          <w:sz w:val="26"/>
          <w:szCs w:val="26"/>
        </w:rPr>
        <w:t xml:space="preserve"> to cover the insured’s goods which were destroyed by a fire while temporarily being stored in a warehouse. The issue was whether “covered property” included both “domestically acquired” as well as “internationally acquired” goods. The insurer argued that coverage for domestic goods was excluded and the loss was not covered. The insured argued that all property was </w:t>
      </w:r>
      <w:proofErr w:type="gramStart"/>
      <w:r>
        <w:rPr>
          <w:rFonts w:ascii="Times New Roman" w:hAnsi="Times New Roman" w:cs="Times New Roman"/>
          <w:color w:val="000000"/>
          <w:sz w:val="26"/>
          <w:szCs w:val="26"/>
        </w:rPr>
        <w:t>covered</w:t>
      </w:r>
      <w:proofErr w:type="gramEnd"/>
      <w:r>
        <w:rPr>
          <w:rFonts w:ascii="Times New Roman" w:hAnsi="Times New Roman" w:cs="Times New Roman"/>
          <w:color w:val="000000"/>
          <w:sz w:val="26"/>
          <w:szCs w:val="26"/>
        </w:rPr>
        <w:t xml:space="preserve"> and that the policy was ambiguous. The Court of Appeals, in applying New Jersey law, and reversing the decision of the district court, held that the policy definitions were ambiguous and adopted the interpretation that afforded coverage to the insured. In reviewing the policy, the Court stated that</w:t>
      </w:r>
    </w:p>
    <w:p w14:paraId="1735F71A" w14:textId="77777777" w:rsidR="006F0DEA" w:rsidRDefault="007B3EEC">
      <w:pPr>
        <w:widowControl w:val="0"/>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Where genuine ambiguity exists, such that ‘the controlling language will support two meanings, one favorable to the insurer, and the other favorable to the insured, the interpretation sustaining coverage must be applied.’ … If an insurance policy’s terms </w:t>
      </w:r>
      <w:proofErr w:type="gramStart"/>
      <w:r>
        <w:rPr>
          <w:rFonts w:ascii="Times New Roman" w:hAnsi="Times New Roman" w:cs="Times New Roman"/>
          <w:color w:val="000000"/>
          <w:sz w:val="26"/>
          <w:szCs w:val="26"/>
        </w:rPr>
        <w:t>are capable of supporting</w:t>
      </w:r>
      <w:proofErr w:type="gramEnd"/>
      <w:r>
        <w:rPr>
          <w:rFonts w:ascii="Times New Roman" w:hAnsi="Times New Roman" w:cs="Times New Roman"/>
          <w:color w:val="000000"/>
          <w:sz w:val="26"/>
          <w:szCs w:val="26"/>
        </w:rPr>
        <w:t xml:space="preserve"> two distinct outcomes as to whether there is coverage, the subject language must be interpreted in favor of the insured.… </w:t>
      </w:r>
      <w:proofErr w:type="gramStart"/>
      <w:r>
        <w:rPr>
          <w:rFonts w:ascii="Times New Roman" w:hAnsi="Times New Roman" w:cs="Times New Roman"/>
          <w:color w:val="000000"/>
          <w:sz w:val="26"/>
          <w:szCs w:val="26"/>
        </w:rPr>
        <w:t>In an effort to</w:t>
      </w:r>
      <w:proofErr w:type="gramEnd"/>
      <w:r>
        <w:rPr>
          <w:rFonts w:ascii="Times New Roman" w:hAnsi="Times New Roman" w:cs="Times New Roman"/>
          <w:color w:val="000000"/>
          <w:sz w:val="26"/>
          <w:szCs w:val="26"/>
        </w:rPr>
        <w:t xml:space="preserve"> avoid subjecting insureds ‘to technical encumbrances or to hidden pitfalls … policies should be construed liberally in their favor to the end that coverage is afforded to the full extent that any fair interpretation will allow. Moreover, </w:t>
      </w:r>
      <w:r>
        <w:rPr>
          <w:rFonts w:ascii="Times New Roman" w:hAnsi="Times New Roman" w:cs="Times New Roman"/>
          <w:b/>
          <w:bCs/>
          <w:color w:val="000000"/>
          <w:sz w:val="26"/>
          <w:szCs w:val="26"/>
        </w:rPr>
        <w:t>when the issue of ambiguity arises from an ‘exclusion or exception, designed to limit protection, a strict interpretation is applied</w:t>
      </w:r>
      <w:r>
        <w:rPr>
          <w:rFonts w:ascii="Times New Roman" w:hAnsi="Times New Roman" w:cs="Times New Roman"/>
          <w:color w:val="000000"/>
          <w:sz w:val="26"/>
          <w:szCs w:val="26"/>
        </w:rPr>
        <w:t>.’</w:t>
      </w:r>
    </w:p>
    <w:p w14:paraId="0C555F77" w14:textId="77777777" w:rsidR="006F0DEA" w:rsidRDefault="007B3EEC">
      <w:pPr>
        <w:widowControl w:val="0"/>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w:t>
      </w:r>
    </w:p>
    <w:p w14:paraId="423C027D" w14:textId="77777777" w:rsidR="006F0DEA" w:rsidRDefault="007B3EEC">
      <w:pPr>
        <w:widowControl w:val="0"/>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i/>
          <w:iCs/>
          <w:color w:val="000000"/>
          <w:sz w:val="26"/>
          <w:szCs w:val="26"/>
        </w:rPr>
        <w:t>See id. at 74</w:t>
      </w:r>
      <w:r>
        <w:rPr>
          <w:rFonts w:ascii="Times New Roman" w:hAnsi="Times New Roman" w:cs="Times New Roman"/>
          <w:color w:val="000000"/>
          <w:sz w:val="26"/>
          <w:szCs w:val="26"/>
        </w:rPr>
        <w:t xml:space="preserve"> (internal citations omitted)(emphasis added).</w:t>
      </w:r>
    </w:p>
    <w:p w14:paraId="13386056" w14:textId="77777777" w:rsidR="006F0DEA" w:rsidRDefault="007B3EEC">
      <w:pPr>
        <w:widowControl w:val="0"/>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w:t>
      </w:r>
    </w:p>
    <w:p w14:paraId="74D47E6F" w14:textId="77777777" w:rsidR="006F0DEA" w:rsidRDefault="007B3EEC">
      <w:pPr>
        <w:widowControl w:val="0"/>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w:t>
      </w:r>
    </w:p>
    <w:p w14:paraId="17035533" w14:textId="77777777" w:rsidR="006F0DEA" w:rsidRDefault="007B3EEC">
      <w:pPr>
        <w:widowControl w:val="0"/>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The Court struggled to determine the definition of “property insured” because it was not clearly defined, although several policy sections contained much speculation about what insured property could be. </w:t>
      </w:r>
      <w:r>
        <w:rPr>
          <w:rFonts w:ascii="Times New Roman" w:hAnsi="Times New Roman" w:cs="Times New Roman"/>
          <w:i/>
          <w:iCs/>
          <w:color w:val="000000"/>
          <w:sz w:val="26"/>
          <w:szCs w:val="26"/>
        </w:rPr>
        <w:t>Id.</w:t>
      </w:r>
      <w:r>
        <w:rPr>
          <w:rFonts w:ascii="Times New Roman" w:hAnsi="Times New Roman" w:cs="Times New Roman"/>
          <w:color w:val="000000"/>
          <w:sz w:val="26"/>
          <w:szCs w:val="26"/>
        </w:rPr>
        <w:t>, at 75-76. The Court determined that “‘[a]s this analysis of the plain language demonstrates, the Policy is capable of supporting two distinct outcomes as to whether there is coverage and therefore indicates that a genuine ambiguity exists.” The Court reviewed the entire policy and concluded:</w:t>
      </w:r>
    </w:p>
    <w:p w14:paraId="75E83627" w14:textId="77777777" w:rsidR="006F0DEA" w:rsidRDefault="007B3EEC">
      <w:pPr>
        <w:widowControl w:val="0"/>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As the analysis of the plain language demonstrates, the Policy is ‘capable of supporting two distinct outcomes as to whether there is coverage,’ and therefore indicates that a genuine ambiguity exists. Nonetheless, … </w:t>
      </w:r>
      <w:r>
        <w:rPr>
          <w:rFonts w:ascii="Times New Roman" w:hAnsi="Times New Roman" w:cs="Times New Roman"/>
          <w:b/>
          <w:bCs/>
          <w:color w:val="000000"/>
          <w:sz w:val="26"/>
          <w:szCs w:val="26"/>
        </w:rPr>
        <w:t>we are instructed to ‘give effect to the whole policy, not just one part of it</w:t>
      </w:r>
      <w:r>
        <w:rPr>
          <w:rFonts w:ascii="Times New Roman" w:hAnsi="Times New Roman" w:cs="Times New Roman"/>
          <w:color w:val="000000"/>
          <w:sz w:val="26"/>
          <w:szCs w:val="26"/>
        </w:rPr>
        <w:t>....’</w:t>
      </w:r>
    </w:p>
    <w:p w14:paraId="687271F3" w14:textId="77777777" w:rsidR="006F0DEA" w:rsidRDefault="007B3EEC">
      <w:pPr>
        <w:widowControl w:val="0"/>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w:t>
      </w:r>
    </w:p>
    <w:p w14:paraId="098A53D1" w14:textId="77777777" w:rsidR="006F0DEA" w:rsidRDefault="007B3EEC">
      <w:pPr>
        <w:widowControl w:val="0"/>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Therefore, after reviewing the plain language of the </w:t>
      </w:r>
      <w:r>
        <w:rPr>
          <w:rFonts w:ascii="Times New Roman" w:hAnsi="Times New Roman" w:cs="Times New Roman"/>
          <w:b/>
          <w:bCs/>
          <w:i/>
          <w:iCs/>
          <w:color w:val="000000"/>
          <w:sz w:val="26"/>
          <w:szCs w:val="26"/>
        </w:rPr>
        <w:t>entire</w:t>
      </w:r>
      <w:r>
        <w:rPr>
          <w:rFonts w:ascii="Times New Roman" w:hAnsi="Times New Roman" w:cs="Times New Roman"/>
          <w:color w:val="000000"/>
          <w:sz w:val="26"/>
          <w:szCs w:val="26"/>
        </w:rPr>
        <w:t xml:space="preserve"> Policy, our confusion regarding the boundaries of coverage remains, and we are compelled to conclude that the Policy contains a genuine ambiguity as to [coverage].... As a result of this genuine ambiguity, we must construe the Policy ‘liberally in [the insured’s] favor to the end that coverage is afforded to the full extent that any fair interpretation will allow.’</w:t>
      </w:r>
    </w:p>
    <w:p w14:paraId="1ABE38EB" w14:textId="77777777" w:rsidR="006F0DEA" w:rsidRDefault="007B3EEC">
      <w:pPr>
        <w:widowControl w:val="0"/>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w:t>
      </w:r>
    </w:p>
    <w:p w14:paraId="0E9A477F" w14:textId="77777777" w:rsidR="006F0DEA" w:rsidRDefault="007B3EEC">
      <w:pPr>
        <w:widowControl w:val="0"/>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w:t>
      </w:r>
    </w:p>
    <w:p w14:paraId="4FB5887C" w14:textId="77777777" w:rsidR="006F0DEA" w:rsidRDefault="007B3EEC">
      <w:pPr>
        <w:widowControl w:val="0"/>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i/>
          <w:iCs/>
          <w:color w:val="000000"/>
          <w:sz w:val="26"/>
          <w:szCs w:val="26"/>
        </w:rPr>
        <w:t>Id.</w:t>
      </w:r>
      <w:r>
        <w:rPr>
          <w:rFonts w:ascii="Times New Roman" w:hAnsi="Times New Roman" w:cs="Times New Roman"/>
          <w:color w:val="000000"/>
          <w:sz w:val="26"/>
          <w:szCs w:val="26"/>
        </w:rPr>
        <w:t>, at 76 (internal citations omitted) (emphasis added).</w:t>
      </w:r>
    </w:p>
    <w:p w14:paraId="0241E37A" w14:textId="77777777" w:rsidR="006F0DEA" w:rsidRDefault="007B3EEC">
      <w:pPr>
        <w:widowControl w:val="0"/>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w:t>
      </w:r>
    </w:p>
    <w:p w14:paraId="34C07E69" w14:textId="5268CD8E" w:rsidR="006F0DEA" w:rsidRDefault="007B3EEC">
      <w:pPr>
        <w:widowControl w:val="0"/>
        <w:autoSpaceDE w:val="0"/>
        <w:autoSpaceDN w:val="0"/>
        <w:adjustRightInd w:val="0"/>
        <w:spacing w:after="0" w:line="240" w:lineRule="auto"/>
        <w:jc w:val="both"/>
        <w:rPr>
          <w:rFonts w:ascii="Times New Roman" w:hAnsi="Times New Roman" w:cs="Times New Roman"/>
          <w:i/>
          <w:iCs/>
          <w:color w:val="000000"/>
          <w:sz w:val="26"/>
          <w:szCs w:val="26"/>
        </w:rPr>
      </w:pPr>
      <w:r>
        <w:rPr>
          <w:rFonts w:ascii="Times New Roman" w:hAnsi="Times New Roman" w:cs="Times New Roman"/>
          <w:color w:val="000000"/>
          <w:sz w:val="26"/>
          <w:szCs w:val="26"/>
        </w:rPr>
        <w:t xml:space="preserve">We reach the same result with the flood exclusion in this case. </w:t>
      </w:r>
      <w:r w:rsidR="00190604">
        <w:rPr>
          <w:rFonts w:ascii="Times New Roman" w:hAnsi="Times New Roman" w:cs="Times New Roman"/>
          <w:color w:val="000000"/>
          <w:sz w:val="26"/>
          <w:szCs w:val="26"/>
        </w:rPr>
        <w:t>Roberts</w:t>
      </w:r>
      <w:r>
        <w:rPr>
          <w:rFonts w:ascii="Times New Roman" w:hAnsi="Times New Roman" w:cs="Times New Roman"/>
          <w:color w:val="000000"/>
          <w:sz w:val="26"/>
          <w:szCs w:val="26"/>
        </w:rPr>
        <w:t xml:space="preserve"> is afforded all risks coverage for this loss via the Warehouse Endorsement. The exclusions in the Warehouse Endorsement do not list flood as an excluded cause of loss under the exclusion section. </w:t>
      </w:r>
      <w:r>
        <w:rPr>
          <w:rFonts w:ascii="Times New Roman" w:hAnsi="Times New Roman" w:cs="Times New Roman"/>
          <w:i/>
          <w:iCs/>
          <w:color w:val="000000"/>
          <w:sz w:val="26"/>
          <w:szCs w:val="26"/>
        </w:rPr>
        <w:t xml:space="preserve">Branson </w:t>
      </w:r>
      <w:r>
        <w:rPr>
          <w:rFonts w:ascii="Times New Roman" w:hAnsi="Times New Roman" w:cs="Times New Roman"/>
          <w:i/>
          <w:iCs/>
          <w:color w:val="000000"/>
          <w:sz w:val="26"/>
          <w:szCs w:val="26"/>
        </w:rPr>
        <w:lastRenderedPageBreak/>
        <w:t xml:space="preserve">Decl. ¶ 16-19; </w:t>
      </w:r>
      <w:r w:rsidR="00190604">
        <w:rPr>
          <w:rFonts w:ascii="Times New Roman" w:hAnsi="Times New Roman" w:cs="Times New Roman"/>
          <w:i/>
          <w:iCs/>
          <w:color w:val="000000"/>
          <w:sz w:val="26"/>
          <w:szCs w:val="26"/>
        </w:rPr>
        <w:t>Orville</w:t>
      </w:r>
      <w:r>
        <w:rPr>
          <w:rFonts w:ascii="Times New Roman" w:hAnsi="Times New Roman" w:cs="Times New Roman"/>
          <w:i/>
          <w:iCs/>
          <w:color w:val="000000"/>
          <w:sz w:val="26"/>
          <w:szCs w:val="26"/>
        </w:rPr>
        <w:t xml:space="preserve"> Decl. </w:t>
      </w:r>
      <w:proofErr w:type="spellStart"/>
      <w:r>
        <w:rPr>
          <w:rFonts w:ascii="Times New Roman" w:hAnsi="Times New Roman" w:cs="Times New Roman"/>
          <w:i/>
          <w:iCs/>
          <w:color w:val="000000"/>
          <w:sz w:val="26"/>
          <w:szCs w:val="26"/>
        </w:rPr>
        <w:t>Exh</w:t>
      </w:r>
      <w:proofErr w:type="spellEnd"/>
      <w:r>
        <w:rPr>
          <w:rFonts w:ascii="Times New Roman" w:hAnsi="Times New Roman" w:cs="Times New Roman"/>
          <w:i/>
          <w:iCs/>
          <w:color w:val="000000"/>
          <w:sz w:val="26"/>
          <w:szCs w:val="26"/>
        </w:rPr>
        <w:t>. 1</w:t>
      </w:r>
      <w:r>
        <w:rPr>
          <w:rFonts w:ascii="Times New Roman" w:hAnsi="Times New Roman" w:cs="Times New Roman"/>
          <w:color w:val="000000"/>
          <w:sz w:val="26"/>
          <w:szCs w:val="26"/>
        </w:rPr>
        <w:t xml:space="preserve"> ¶</w:t>
      </w:r>
      <w:r>
        <w:rPr>
          <w:rFonts w:ascii="Times New Roman" w:hAnsi="Times New Roman" w:cs="Times New Roman"/>
          <w:i/>
          <w:iCs/>
          <w:color w:val="000000"/>
          <w:sz w:val="26"/>
          <w:szCs w:val="26"/>
        </w:rPr>
        <w:t>8.</w:t>
      </w:r>
      <w:r>
        <w:rPr>
          <w:rFonts w:ascii="Times New Roman" w:hAnsi="Times New Roman" w:cs="Times New Roman"/>
          <w:color w:val="000000"/>
          <w:sz w:val="26"/>
          <w:szCs w:val="26"/>
        </w:rPr>
        <w:t xml:space="preserve"> It is only under the caption </w:t>
      </w:r>
      <w:r>
        <w:rPr>
          <w:rFonts w:ascii="Times New Roman" w:hAnsi="Times New Roman" w:cs="Times New Roman"/>
          <w:i/>
          <w:iCs/>
          <w:color w:val="000000"/>
          <w:sz w:val="26"/>
          <w:szCs w:val="26"/>
        </w:rPr>
        <w:t>EARTH MOVEMENT SUBLIMIT &amp; DEDUCTIBLE</w:t>
      </w:r>
      <w:r>
        <w:rPr>
          <w:rFonts w:ascii="Times New Roman" w:hAnsi="Times New Roman" w:cs="Times New Roman"/>
          <w:color w:val="000000"/>
          <w:sz w:val="26"/>
          <w:szCs w:val="26"/>
        </w:rPr>
        <w:t xml:space="preserve">, under the </w:t>
      </w:r>
      <w:r>
        <w:rPr>
          <w:rFonts w:ascii="Times New Roman" w:hAnsi="Times New Roman" w:cs="Times New Roman"/>
          <w:i/>
          <w:iCs/>
          <w:color w:val="000000"/>
          <w:sz w:val="26"/>
          <w:szCs w:val="26"/>
        </w:rPr>
        <w:t>DEDUCTIBLE</w:t>
      </w:r>
      <w:r>
        <w:rPr>
          <w:rFonts w:ascii="Times New Roman" w:hAnsi="Times New Roman" w:cs="Times New Roman"/>
          <w:color w:val="000000"/>
          <w:sz w:val="26"/>
          <w:szCs w:val="26"/>
        </w:rPr>
        <w:t xml:space="preserve"> portion, that the peril of flood is listed as an </w:t>
      </w:r>
      <w:proofErr w:type="spellStart"/>
      <w:r>
        <w:rPr>
          <w:rFonts w:ascii="Times New Roman" w:hAnsi="Times New Roman" w:cs="Times New Roman"/>
          <w:color w:val="000000"/>
          <w:sz w:val="26"/>
          <w:szCs w:val="26"/>
        </w:rPr>
        <w:t>excludion</w:t>
      </w:r>
      <w:proofErr w:type="spellEnd"/>
      <w:r>
        <w:rPr>
          <w:rFonts w:ascii="Times New Roman" w:hAnsi="Times New Roman" w:cs="Times New Roman"/>
          <w:color w:val="000000"/>
          <w:sz w:val="26"/>
          <w:szCs w:val="26"/>
        </w:rPr>
        <w:t xml:space="preserve">. </w:t>
      </w:r>
      <w:r w:rsidR="00190604">
        <w:rPr>
          <w:rFonts w:ascii="Times New Roman" w:hAnsi="Times New Roman" w:cs="Times New Roman"/>
          <w:i/>
          <w:iCs/>
          <w:color w:val="000000"/>
          <w:sz w:val="26"/>
          <w:szCs w:val="26"/>
        </w:rPr>
        <w:t>Orville</w:t>
      </w:r>
      <w:r>
        <w:rPr>
          <w:rFonts w:ascii="Times New Roman" w:hAnsi="Times New Roman" w:cs="Times New Roman"/>
          <w:i/>
          <w:iCs/>
          <w:color w:val="000000"/>
          <w:sz w:val="26"/>
          <w:szCs w:val="26"/>
        </w:rPr>
        <w:t xml:space="preserve"> Decl. </w:t>
      </w:r>
      <w:proofErr w:type="spellStart"/>
      <w:r>
        <w:rPr>
          <w:rFonts w:ascii="Times New Roman" w:hAnsi="Times New Roman" w:cs="Times New Roman"/>
          <w:i/>
          <w:iCs/>
          <w:color w:val="000000"/>
          <w:sz w:val="26"/>
          <w:szCs w:val="26"/>
        </w:rPr>
        <w:t>Exh</w:t>
      </w:r>
      <w:proofErr w:type="spellEnd"/>
      <w:r>
        <w:rPr>
          <w:rFonts w:ascii="Times New Roman" w:hAnsi="Times New Roman" w:cs="Times New Roman"/>
          <w:i/>
          <w:iCs/>
          <w:color w:val="000000"/>
          <w:sz w:val="26"/>
          <w:szCs w:val="26"/>
        </w:rPr>
        <w:t xml:space="preserve">. 1 at ¶13; Branson Decl. ¶19; </w:t>
      </w:r>
      <w:proofErr w:type="spellStart"/>
      <w:r>
        <w:rPr>
          <w:rFonts w:ascii="Times New Roman" w:hAnsi="Times New Roman" w:cs="Times New Roman"/>
          <w:i/>
          <w:iCs/>
          <w:color w:val="000000"/>
          <w:sz w:val="26"/>
          <w:szCs w:val="26"/>
        </w:rPr>
        <w:t>Carr</w:t>
      </w:r>
      <w:proofErr w:type="spellEnd"/>
      <w:r>
        <w:rPr>
          <w:rFonts w:ascii="Times New Roman" w:hAnsi="Times New Roman" w:cs="Times New Roman"/>
          <w:i/>
          <w:iCs/>
          <w:color w:val="000000"/>
          <w:sz w:val="26"/>
          <w:szCs w:val="26"/>
        </w:rPr>
        <w:t xml:space="preserve"> Decl. </w:t>
      </w:r>
      <w:proofErr w:type="spellStart"/>
      <w:r>
        <w:rPr>
          <w:rFonts w:ascii="Times New Roman" w:hAnsi="Times New Roman" w:cs="Times New Roman"/>
          <w:i/>
          <w:iCs/>
          <w:color w:val="000000"/>
          <w:sz w:val="26"/>
          <w:szCs w:val="26"/>
        </w:rPr>
        <w:t>Exh</w:t>
      </w:r>
      <w:proofErr w:type="spellEnd"/>
      <w:r>
        <w:rPr>
          <w:rFonts w:ascii="Times New Roman" w:hAnsi="Times New Roman" w:cs="Times New Roman"/>
          <w:i/>
          <w:iCs/>
          <w:color w:val="000000"/>
          <w:sz w:val="26"/>
          <w:szCs w:val="26"/>
        </w:rPr>
        <w:t xml:space="preserve">. B, pg. 2; </w:t>
      </w:r>
      <w:r w:rsidR="00190604">
        <w:rPr>
          <w:rFonts w:ascii="Times New Roman" w:hAnsi="Times New Roman" w:cs="Times New Roman"/>
          <w:i/>
          <w:iCs/>
          <w:color w:val="000000"/>
          <w:sz w:val="26"/>
          <w:szCs w:val="26"/>
        </w:rPr>
        <w:t>Orville</w:t>
      </w:r>
      <w:r>
        <w:rPr>
          <w:rFonts w:ascii="Times New Roman" w:hAnsi="Times New Roman" w:cs="Times New Roman"/>
          <w:i/>
          <w:iCs/>
          <w:color w:val="000000"/>
          <w:sz w:val="26"/>
          <w:szCs w:val="26"/>
        </w:rPr>
        <w:t xml:space="preserve"> Decl. </w:t>
      </w:r>
      <w:proofErr w:type="spellStart"/>
      <w:r>
        <w:rPr>
          <w:rFonts w:ascii="Times New Roman" w:hAnsi="Times New Roman" w:cs="Times New Roman"/>
          <w:i/>
          <w:iCs/>
          <w:color w:val="000000"/>
          <w:sz w:val="26"/>
          <w:szCs w:val="26"/>
        </w:rPr>
        <w:t>Exh</w:t>
      </w:r>
      <w:proofErr w:type="spellEnd"/>
      <w:r>
        <w:rPr>
          <w:rFonts w:ascii="Times New Roman" w:hAnsi="Times New Roman" w:cs="Times New Roman"/>
          <w:i/>
          <w:iCs/>
          <w:color w:val="000000"/>
          <w:sz w:val="26"/>
          <w:szCs w:val="26"/>
        </w:rPr>
        <w:t xml:space="preserve">. 2, </w:t>
      </w:r>
      <w:proofErr w:type="spellStart"/>
      <w:r>
        <w:rPr>
          <w:rFonts w:ascii="Times New Roman" w:hAnsi="Times New Roman" w:cs="Times New Roman"/>
          <w:i/>
          <w:iCs/>
          <w:color w:val="000000"/>
          <w:sz w:val="26"/>
          <w:szCs w:val="26"/>
        </w:rPr>
        <w:t>pg</w:t>
      </w:r>
      <w:proofErr w:type="spellEnd"/>
      <w:r>
        <w:rPr>
          <w:rFonts w:ascii="Times New Roman" w:hAnsi="Times New Roman" w:cs="Times New Roman"/>
          <w:i/>
          <w:iCs/>
          <w:color w:val="000000"/>
          <w:sz w:val="26"/>
          <w:szCs w:val="26"/>
        </w:rPr>
        <w:t xml:space="preserve"> 2.</w:t>
      </w:r>
    </w:p>
    <w:p w14:paraId="57BE59BD" w14:textId="77777777" w:rsidR="006F0DEA" w:rsidRDefault="007B3EEC">
      <w:pPr>
        <w:widowControl w:val="0"/>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w:t>
      </w:r>
    </w:p>
    <w:p w14:paraId="3C857F1A" w14:textId="4C9B2B2B" w:rsidR="006F0DEA" w:rsidRDefault="007B3EEC">
      <w:pPr>
        <w:widowControl w:val="0"/>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It is worth stating that </w:t>
      </w:r>
      <w:r w:rsidR="00190604">
        <w:rPr>
          <w:rFonts w:ascii="Times New Roman" w:hAnsi="Times New Roman" w:cs="Times New Roman"/>
          <w:color w:val="000000"/>
          <w:sz w:val="26"/>
          <w:szCs w:val="26"/>
        </w:rPr>
        <w:t>Northern</w:t>
      </w:r>
      <w:r>
        <w:rPr>
          <w:rFonts w:ascii="Times New Roman" w:hAnsi="Times New Roman" w:cs="Times New Roman"/>
          <w:color w:val="000000"/>
          <w:sz w:val="26"/>
          <w:szCs w:val="26"/>
        </w:rPr>
        <w:t xml:space="preserve"> objects to several of </w:t>
      </w:r>
      <w:r w:rsidR="00190604">
        <w:rPr>
          <w:rFonts w:ascii="Times New Roman" w:hAnsi="Times New Roman" w:cs="Times New Roman"/>
          <w:color w:val="000000"/>
          <w:sz w:val="26"/>
          <w:szCs w:val="26"/>
        </w:rPr>
        <w:t>Roberts</w:t>
      </w:r>
      <w:r>
        <w:rPr>
          <w:rFonts w:ascii="Times New Roman" w:hAnsi="Times New Roman" w:cs="Times New Roman"/>
          <w:color w:val="000000"/>
          <w:sz w:val="26"/>
          <w:szCs w:val="26"/>
        </w:rPr>
        <w:t xml:space="preserve">’ requests to admit stating that the use of the word “caption” renders the requests “vague and ambiguous.” </w:t>
      </w:r>
      <w:r w:rsidR="00190604">
        <w:rPr>
          <w:rFonts w:ascii="Times New Roman" w:hAnsi="Times New Roman" w:cs="Times New Roman"/>
          <w:i/>
          <w:iCs/>
          <w:color w:val="000000"/>
          <w:sz w:val="26"/>
          <w:szCs w:val="26"/>
        </w:rPr>
        <w:t>Orville</w:t>
      </w:r>
      <w:r>
        <w:rPr>
          <w:rFonts w:ascii="Times New Roman" w:hAnsi="Times New Roman" w:cs="Times New Roman"/>
          <w:i/>
          <w:iCs/>
          <w:color w:val="000000"/>
          <w:sz w:val="26"/>
          <w:szCs w:val="26"/>
        </w:rPr>
        <w:t xml:space="preserve"> Decl. </w:t>
      </w:r>
      <w:proofErr w:type="spellStart"/>
      <w:r>
        <w:rPr>
          <w:rFonts w:ascii="Times New Roman" w:hAnsi="Times New Roman" w:cs="Times New Roman"/>
          <w:i/>
          <w:iCs/>
          <w:color w:val="000000"/>
          <w:sz w:val="26"/>
          <w:szCs w:val="26"/>
        </w:rPr>
        <w:t>Exh</w:t>
      </w:r>
      <w:proofErr w:type="spellEnd"/>
      <w:r>
        <w:rPr>
          <w:rFonts w:ascii="Times New Roman" w:hAnsi="Times New Roman" w:cs="Times New Roman"/>
          <w:i/>
          <w:iCs/>
          <w:color w:val="000000"/>
          <w:sz w:val="26"/>
          <w:szCs w:val="26"/>
        </w:rPr>
        <w:t>. 1 at ¶¶6-7, 10-14.</w:t>
      </w:r>
      <w:r>
        <w:rPr>
          <w:rFonts w:ascii="Times New Roman" w:hAnsi="Times New Roman" w:cs="Times New Roman"/>
          <w:color w:val="000000"/>
          <w:sz w:val="26"/>
          <w:szCs w:val="26"/>
        </w:rPr>
        <w:t xml:space="preserve"> </w:t>
      </w:r>
      <w:proofErr w:type="spellStart"/>
      <w:r w:rsidR="00190604">
        <w:rPr>
          <w:rFonts w:ascii="Times New Roman" w:hAnsi="Times New Roman" w:cs="Times New Roman"/>
          <w:color w:val="000000"/>
          <w:sz w:val="26"/>
          <w:szCs w:val="26"/>
        </w:rPr>
        <w:t>Northern’s</w:t>
      </w:r>
      <w:proofErr w:type="spellEnd"/>
      <w:r>
        <w:rPr>
          <w:rFonts w:ascii="Times New Roman" w:hAnsi="Times New Roman" w:cs="Times New Roman"/>
          <w:color w:val="000000"/>
          <w:sz w:val="26"/>
          <w:szCs w:val="26"/>
        </w:rPr>
        <w:t xml:space="preserve"> objections based on a perceived ambiguity further supports </w:t>
      </w:r>
      <w:r w:rsidR="00190604">
        <w:rPr>
          <w:rFonts w:ascii="Times New Roman" w:hAnsi="Times New Roman" w:cs="Times New Roman"/>
          <w:color w:val="000000"/>
          <w:sz w:val="26"/>
          <w:szCs w:val="26"/>
        </w:rPr>
        <w:t>Roberts</w:t>
      </w:r>
      <w:r>
        <w:rPr>
          <w:rFonts w:ascii="Times New Roman" w:hAnsi="Times New Roman" w:cs="Times New Roman"/>
          <w:color w:val="000000"/>
          <w:sz w:val="26"/>
          <w:szCs w:val="26"/>
        </w:rPr>
        <w:t xml:space="preserve">’ position that the flood exclusion is ambiguous. While </w:t>
      </w:r>
      <w:r w:rsidR="00190604">
        <w:rPr>
          <w:rFonts w:ascii="Times New Roman" w:hAnsi="Times New Roman" w:cs="Times New Roman"/>
          <w:color w:val="000000"/>
          <w:sz w:val="26"/>
          <w:szCs w:val="26"/>
        </w:rPr>
        <w:t>Northern</w:t>
      </w:r>
      <w:r>
        <w:rPr>
          <w:rFonts w:ascii="Times New Roman" w:hAnsi="Times New Roman" w:cs="Times New Roman"/>
          <w:color w:val="000000"/>
          <w:sz w:val="26"/>
          <w:szCs w:val="26"/>
        </w:rPr>
        <w:t xml:space="preserve"> may not have meant for the “</w:t>
      </w:r>
      <w:r>
        <w:rPr>
          <w:rFonts w:ascii="Times New Roman" w:hAnsi="Times New Roman" w:cs="Times New Roman"/>
          <w:i/>
          <w:iCs/>
          <w:color w:val="000000"/>
          <w:sz w:val="26"/>
          <w:szCs w:val="26"/>
        </w:rPr>
        <w:t>EARTH MOVEMENT SUBLIMIT &amp; DEDUCTIBLE</w:t>
      </w:r>
      <w:r>
        <w:rPr>
          <w:rFonts w:ascii="Times New Roman" w:hAnsi="Times New Roman" w:cs="Times New Roman"/>
          <w:color w:val="000000"/>
          <w:sz w:val="26"/>
          <w:szCs w:val="26"/>
        </w:rPr>
        <w:t xml:space="preserve">” to be a caption, that is certainly how it appears to </w:t>
      </w:r>
      <w:r w:rsidR="00190604">
        <w:rPr>
          <w:rFonts w:ascii="Times New Roman" w:hAnsi="Times New Roman" w:cs="Times New Roman"/>
          <w:color w:val="000000"/>
          <w:sz w:val="26"/>
          <w:szCs w:val="26"/>
        </w:rPr>
        <w:t>Roberts</w:t>
      </w:r>
      <w:r>
        <w:rPr>
          <w:rFonts w:ascii="Times New Roman" w:hAnsi="Times New Roman" w:cs="Times New Roman"/>
          <w:color w:val="000000"/>
          <w:sz w:val="26"/>
          <w:szCs w:val="26"/>
        </w:rPr>
        <w:t xml:space="preserve">. </w:t>
      </w:r>
      <w:r w:rsidR="00190604">
        <w:rPr>
          <w:rFonts w:ascii="Times New Roman" w:hAnsi="Times New Roman" w:cs="Times New Roman"/>
          <w:color w:val="000000"/>
          <w:sz w:val="26"/>
          <w:szCs w:val="26"/>
        </w:rPr>
        <w:t>Northern</w:t>
      </w:r>
      <w:r>
        <w:rPr>
          <w:rFonts w:ascii="Times New Roman" w:hAnsi="Times New Roman" w:cs="Times New Roman"/>
          <w:color w:val="000000"/>
          <w:sz w:val="26"/>
          <w:szCs w:val="26"/>
        </w:rPr>
        <w:t xml:space="preserve"> identifies it as a “provision.” </w:t>
      </w:r>
      <w:r>
        <w:rPr>
          <w:rFonts w:ascii="Times New Roman" w:hAnsi="Times New Roman" w:cs="Times New Roman"/>
          <w:i/>
          <w:iCs/>
          <w:color w:val="000000"/>
          <w:sz w:val="26"/>
          <w:szCs w:val="26"/>
        </w:rPr>
        <w:t>Id.</w:t>
      </w:r>
      <w:r>
        <w:rPr>
          <w:rFonts w:ascii="Times New Roman" w:hAnsi="Times New Roman" w:cs="Times New Roman"/>
          <w:color w:val="000000"/>
          <w:sz w:val="26"/>
          <w:szCs w:val="26"/>
        </w:rPr>
        <w:t xml:space="preserve"> Regardless, this is simply another example of the ambiguity created in </w:t>
      </w:r>
      <w:proofErr w:type="spellStart"/>
      <w:r w:rsidR="00190604">
        <w:rPr>
          <w:rFonts w:ascii="Times New Roman" w:hAnsi="Times New Roman" w:cs="Times New Roman"/>
          <w:color w:val="000000"/>
          <w:sz w:val="26"/>
          <w:szCs w:val="26"/>
        </w:rPr>
        <w:t>Northern’s</w:t>
      </w:r>
      <w:proofErr w:type="spellEnd"/>
      <w:r>
        <w:rPr>
          <w:rFonts w:ascii="Times New Roman" w:hAnsi="Times New Roman" w:cs="Times New Roman"/>
          <w:color w:val="000000"/>
          <w:sz w:val="26"/>
          <w:szCs w:val="26"/>
        </w:rPr>
        <w:t xml:space="preserve"> drafting of its endorsement.</w:t>
      </w:r>
    </w:p>
    <w:p w14:paraId="6869E14F" w14:textId="77777777" w:rsidR="006F0DEA" w:rsidRDefault="007B3EEC">
      <w:pPr>
        <w:widowControl w:val="0"/>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w:t>
      </w:r>
    </w:p>
    <w:p w14:paraId="40F57DDF" w14:textId="2EBFE913" w:rsidR="006F0DEA" w:rsidRDefault="007B3EEC">
      <w:pPr>
        <w:widowControl w:val="0"/>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This ambiguity is further heightened by the fact that flood is not defined anywhere in the Policy. </w:t>
      </w:r>
      <w:r>
        <w:rPr>
          <w:rFonts w:ascii="Times New Roman" w:hAnsi="Times New Roman" w:cs="Times New Roman"/>
          <w:i/>
          <w:iCs/>
          <w:color w:val="000000"/>
          <w:sz w:val="26"/>
          <w:szCs w:val="26"/>
        </w:rPr>
        <w:t xml:space="preserve">Branson Decl. ¶20; </w:t>
      </w:r>
      <w:r w:rsidR="00190604">
        <w:rPr>
          <w:rFonts w:ascii="Times New Roman" w:hAnsi="Times New Roman" w:cs="Times New Roman"/>
          <w:i/>
          <w:iCs/>
          <w:color w:val="000000"/>
          <w:sz w:val="26"/>
          <w:szCs w:val="26"/>
        </w:rPr>
        <w:t>Orville</w:t>
      </w:r>
      <w:r>
        <w:rPr>
          <w:rFonts w:ascii="Times New Roman" w:hAnsi="Times New Roman" w:cs="Times New Roman"/>
          <w:i/>
          <w:iCs/>
          <w:color w:val="000000"/>
          <w:sz w:val="26"/>
          <w:szCs w:val="26"/>
        </w:rPr>
        <w:t xml:space="preserve"> Decl. </w:t>
      </w:r>
      <w:proofErr w:type="spellStart"/>
      <w:r>
        <w:rPr>
          <w:rFonts w:ascii="Times New Roman" w:hAnsi="Times New Roman" w:cs="Times New Roman"/>
          <w:i/>
          <w:iCs/>
          <w:color w:val="000000"/>
          <w:sz w:val="26"/>
          <w:szCs w:val="26"/>
        </w:rPr>
        <w:t>Exh</w:t>
      </w:r>
      <w:proofErr w:type="spellEnd"/>
      <w:r>
        <w:rPr>
          <w:rFonts w:ascii="Times New Roman" w:hAnsi="Times New Roman" w:cs="Times New Roman"/>
          <w:i/>
          <w:iCs/>
          <w:color w:val="000000"/>
          <w:sz w:val="26"/>
          <w:szCs w:val="26"/>
        </w:rPr>
        <w:t>. 1 ¶15.</w:t>
      </w:r>
      <w:r>
        <w:rPr>
          <w:rFonts w:ascii="Times New Roman" w:hAnsi="Times New Roman" w:cs="Times New Roman"/>
          <w:color w:val="000000"/>
          <w:sz w:val="26"/>
          <w:szCs w:val="26"/>
        </w:rPr>
        <w:t xml:space="preserve"> While </w:t>
      </w:r>
      <w:r w:rsidR="00190604">
        <w:rPr>
          <w:rFonts w:ascii="Times New Roman" w:hAnsi="Times New Roman" w:cs="Times New Roman"/>
          <w:color w:val="000000"/>
          <w:sz w:val="26"/>
          <w:szCs w:val="26"/>
        </w:rPr>
        <w:t>Northern</w:t>
      </w:r>
      <w:r>
        <w:rPr>
          <w:rFonts w:ascii="Times New Roman" w:hAnsi="Times New Roman" w:cs="Times New Roman"/>
          <w:color w:val="000000"/>
          <w:sz w:val="26"/>
          <w:szCs w:val="26"/>
        </w:rPr>
        <w:t xml:space="preserve"> takes the position that “a flood is a flood” (</w:t>
      </w:r>
      <w:r w:rsidR="00190604">
        <w:rPr>
          <w:rFonts w:ascii="Times New Roman" w:hAnsi="Times New Roman" w:cs="Times New Roman"/>
          <w:color w:val="000000"/>
          <w:sz w:val="26"/>
          <w:szCs w:val="26"/>
        </w:rPr>
        <w:t>Northern</w:t>
      </w:r>
      <w:r>
        <w:rPr>
          <w:rFonts w:ascii="Times New Roman" w:hAnsi="Times New Roman" w:cs="Times New Roman"/>
          <w:color w:val="000000"/>
          <w:sz w:val="26"/>
          <w:szCs w:val="26"/>
        </w:rPr>
        <w:t xml:space="preserve"> Brief at </w:t>
      </w:r>
      <w:proofErr w:type="spellStart"/>
      <w:r>
        <w:rPr>
          <w:rFonts w:ascii="Times New Roman" w:hAnsi="Times New Roman" w:cs="Times New Roman"/>
          <w:color w:val="000000"/>
          <w:sz w:val="26"/>
          <w:szCs w:val="26"/>
        </w:rPr>
        <w:t>pg</w:t>
      </w:r>
      <w:proofErr w:type="spellEnd"/>
      <w:r>
        <w:rPr>
          <w:rFonts w:ascii="Times New Roman" w:hAnsi="Times New Roman" w:cs="Times New Roman"/>
          <w:color w:val="000000"/>
          <w:sz w:val="26"/>
          <w:szCs w:val="26"/>
        </w:rPr>
        <w:t xml:space="preserve"> 10) and the Policy exclusion is therefore clearly drafted and applicable, </w:t>
      </w:r>
      <w:r w:rsidR="00190604">
        <w:rPr>
          <w:rFonts w:ascii="Times New Roman" w:hAnsi="Times New Roman" w:cs="Times New Roman"/>
          <w:color w:val="000000"/>
          <w:sz w:val="26"/>
          <w:szCs w:val="26"/>
        </w:rPr>
        <w:t>Northern</w:t>
      </w:r>
      <w:r>
        <w:rPr>
          <w:rFonts w:ascii="Times New Roman" w:hAnsi="Times New Roman" w:cs="Times New Roman"/>
          <w:color w:val="000000"/>
          <w:sz w:val="26"/>
          <w:szCs w:val="26"/>
        </w:rPr>
        <w:t xml:space="preserve"> has failed to consider </w:t>
      </w:r>
      <w:proofErr w:type="gramStart"/>
      <w:r>
        <w:rPr>
          <w:rFonts w:ascii="Times New Roman" w:hAnsi="Times New Roman" w:cs="Times New Roman"/>
          <w:color w:val="000000"/>
          <w:sz w:val="26"/>
          <w:szCs w:val="26"/>
        </w:rPr>
        <w:t>all of</w:t>
      </w:r>
      <w:proofErr w:type="gramEnd"/>
      <w:r>
        <w:rPr>
          <w:rFonts w:ascii="Times New Roman" w:hAnsi="Times New Roman" w:cs="Times New Roman"/>
          <w:color w:val="000000"/>
          <w:sz w:val="26"/>
          <w:szCs w:val="26"/>
        </w:rPr>
        <w:t xml:space="preserve"> the terms </w:t>
      </w:r>
      <w:r>
        <w:rPr>
          <w:rFonts w:ascii="Times New Roman" w:hAnsi="Times New Roman" w:cs="Times New Roman"/>
          <w:i/>
          <w:iCs/>
          <w:color w:val="000000"/>
          <w:sz w:val="26"/>
          <w:szCs w:val="26"/>
        </w:rPr>
        <w:t>of this</w:t>
      </w:r>
      <w:r>
        <w:rPr>
          <w:rFonts w:ascii="Times New Roman" w:hAnsi="Times New Roman" w:cs="Times New Roman"/>
          <w:color w:val="000000"/>
          <w:sz w:val="26"/>
          <w:szCs w:val="26"/>
        </w:rPr>
        <w:t xml:space="preserve"> marine open cargo Policy. </w:t>
      </w:r>
      <w:r>
        <w:rPr>
          <w:rFonts w:ascii="Times New Roman" w:hAnsi="Times New Roman" w:cs="Times New Roman"/>
          <w:i/>
          <w:iCs/>
          <w:color w:val="000000"/>
          <w:sz w:val="26"/>
          <w:szCs w:val="26"/>
        </w:rPr>
        <w:t xml:space="preserve">See, e.g., </w:t>
      </w:r>
      <w:hyperlink r:id="rId21" w:anchor="co_pp_sp_506_76" w:history="1">
        <w:r>
          <w:rPr>
            <w:rFonts w:ascii="Times New Roman" w:hAnsi="Times New Roman" w:cs="Times New Roman"/>
            <w:i/>
            <w:iCs/>
            <w:color w:val="0000FF"/>
            <w:sz w:val="26"/>
            <w:szCs w:val="26"/>
            <w:u w:val="single"/>
          </w:rPr>
          <w:t>Royal Ins. Co. of America</w:t>
        </w:r>
        <w:r>
          <w:rPr>
            <w:rFonts w:ascii="Times New Roman" w:hAnsi="Times New Roman" w:cs="Times New Roman"/>
            <w:color w:val="0000FF"/>
            <w:sz w:val="26"/>
            <w:szCs w:val="26"/>
            <w:u w:val="single"/>
          </w:rPr>
          <w:t>, 563 F.3d at 76</w:t>
        </w:r>
      </w:hyperlink>
      <w:r>
        <w:rPr>
          <w:rFonts w:ascii="Times New Roman" w:hAnsi="Times New Roman" w:cs="Times New Roman"/>
          <w:color w:val="000000"/>
          <w:sz w:val="26"/>
          <w:szCs w:val="26"/>
        </w:rPr>
        <w:t xml:space="preserve"> (“we are instructed to give effect to the whole policy, not just one part of it.”). For example, the Shore Perils clause in the Policy covers named perils which include not only flood, but also cyclone, hurricane, windstorm, and even rising water. </w:t>
      </w:r>
      <w:proofErr w:type="spellStart"/>
      <w:r>
        <w:rPr>
          <w:rFonts w:ascii="Times New Roman" w:hAnsi="Times New Roman" w:cs="Times New Roman"/>
          <w:i/>
          <w:iCs/>
          <w:color w:val="000000"/>
          <w:sz w:val="26"/>
          <w:szCs w:val="26"/>
        </w:rPr>
        <w:t>Carr</w:t>
      </w:r>
      <w:proofErr w:type="spellEnd"/>
      <w:r>
        <w:rPr>
          <w:rFonts w:ascii="Times New Roman" w:hAnsi="Times New Roman" w:cs="Times New Roman"/>
          <w:i/>
          <w:iCs/>
          <w:color w:val="000000"/>
          <w:sz w:val="26"/>
          <w:szCs w:val="26"/>
        </w:rPr>
        <w:t xml:space="preserve"> Decl. </w:t>
      </w:r>
      <w:proofErr w:type="spellStart"/>
      <w:r>
        <w:rPr>
          <w:rFonts w:ascii="Times New Roman" w:hAnsi="Times New Roman" w:cs="Times New Roman"/>
          <w:i/>
          <w:iCs/>
          <w:color w:val="000000"/>
          <w:sz w:val="26"/>
          <w:szCs w:val="26"/>
        </w:rPr>
        <w:t>Exh</w:t>
      </w:r>
      <w:proofErr w:type="spellEnd"/>
      <w:r>
        <w:rPr>
          <w:rFonts w:ascii="Times New Roman" w:hAnsi="Times New Roman" w:cs="Times New Roman"/>
          <w:i/>
          <w:iCs/>
          <w:color w:val="000000"/>
          <w:sz w:val="26"/>
          <w:szCs w:val="26"/>
        </w:rPr>
        <w:t xml:space="preserve">. A, pg. 92; </w:t>
      </w:r>
      <w:proofErr w:type="spellStart"/>
      <w:r>
        <w:rPr>
          <w:rFonts w:ascii="Times New Roman" w:hAnsi="Times New Roman" w:cs="Times New Roman"/>
          <w:i/>
          <w:iCs/>
          <w:color w:val="000000"/>
          <w:sz w:val="26"/>
          <w:szCs w:val="26"/>
        </w:rPr>
        <w:t>Carr</w:t>
      </w:r>
      <w:proofErr w:type="spellEnd"/>
      <w:r>
        <w:rPr>
          <w:rFonts w:ascii="Times New Roman" w:hAnsi="Times New Roman" w:cs="Times New Roman"/>
          <w:i/>
          <w:iCs/>
          <w:color w:val="000000"/>
          <w:sz w:val="26"/>
          <w:szCs w:val="26"/>
        </w:rPr>
        <w:t xml:space="preserve"> Decl. </w:t>
      </w:r>
      <w:proofErr w:type="spellStart"/>
      <w:r>
        <w:rPr>
          <w:rFonts w:ascii="Times New Roman" w:hAnsi="Times New Roman" w:cs="Times New Roman"/>
          <w:i/>
          <w:iCs/>
          <w:color w:val="000000"/>
          <w:sz w:val="26"/>
          <w:szCs w:val="26"/>
        </w:rPr>
        <w:t>Exh</w:t>
      </w:r>
      <w:proofErr w:type="spellEnd"/>
      <w:r>
        <w:rPr>
          <w:rFonts w:ascii="Times New Roman" w:hAnsi="Times New Roman" w:cs="Times New Roman"/>
          <w:i/>
          <w:iCs/>
          <w:color w:val="000000"/>
          <w:sz w:val="26"/>
          <w:szCs w:val="26"/>
        </w:rPr>
        <w:t>. C, pg. 10.</w:t>
      </w:r>
      <w:r>
        <w:rPr>
          <w:rFonts w:ascii="Times New Roman" w:hAnsi="Times New Roman" w:cs="Times New Roman"/>
          <w:color w:val="000000"/>
          <w:sz w:val="26"/>
          <w:szCs w:val="26"/>
        </w:rPr>
        <w:t xml:space="preserve"> By separately listing these covered perils, </w:t>
      </w:r>
      <w:proofErr w:type="gramStart"/>
      <w:r>
        <w:rPr>
          <w:rFonts w:ascii="Times New Roman" w:hAnsi="Times New Roman" w:cs="Times New Roman"/>
          <w:color w:val="000000"/>
          <w:sz w:val="26"/>
          <w:szCs w:val="26"/>
        </w:rPr>
        <w:t xml:space="preserve">it is clear that </w:t>
      </w:r>
      <w:r w:rsidR="00190604">
        <w:rPr>
          <w:rFonts w:ascii="Times New Roman" w:hAnsi="Times New Roman" w:cs="Times New Roman"/>
          <w:color w:val="000000"/>
          <w:sz w:val="26"/>
          <w:szCs w:val="26"/>
        </w:rPr>
        <w:t>Northern</w:t>
      </w:r>
      <w:proofErr w:type="gramEnd"/>
      <w:r>
        <w:rPr>
          <w:rFonts w:ascii="Times New Roman" w:hAnsi="Times New Roman" w:cs="Times New Roman"/>
          <w:color w:val="000000"/>
          <w:sz w:val="26"/>
          <w:szCs w:val="26"/>
        </w:rPr>
        <w:t xml:space="preserve"> believed that while “a flood is a flood,” a flood is not a cyclone or hurricane or windstorm or rising water. Instead, each of these perils is separate and distinct from a “flood.” Reading the Policy </w:t>
      </w:r>
      <w:proofErr w:type="gramStart"/>
      <w:r>
        <w:rPr>
          <w:rFonts w:ascii="Times New Roman" w:hAnsi="Times New Roman" w:cs="Times New Roman"/>
          <w:color w:val="000000"/>
          <w:sz w:val="26"/>
          <w:szCs w:val="26"/>
        </w:rPr>
        <w:t>as a whole leads</w:t>
      </w:r>
      <w:proofErr w:type="gramEnd"/>
      <w:r>
        <w:rPr>
          <w:rFonts w:ascii="Times New Roman" w:hAnsi="Times New Roman" w:cs="Times New Roman"/>
          <w:color w:val="000000"/>
          <w:sz w:val="26"/>
          <w:szCs w:val="26"/>
        </w:rPr>
        <w:t xml:space="preserve"> to the conclusion that the exclusion for “peril of Flood” cannot be considered to include flood due to “hurricane” or “cyclone” or “windstorm” or “rising water.” Otherwise, these terms would be superfluous.</w:t>
      </w:r>
    </w:p>
    <w:p w14:paraId="24EABC9D" w14:textId="77777777" w:rsidR="006F0DEA" w:rsidRDefault="007B3EEC">
      <w:pPr>
        <w:widowControl w:val="0"/>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w:t>
      </w:r>
    </w:p>
    <w:p w14:paraId="5C529C63" w14:textId="77777777" w:rsidR="006F0DEA" w:rsidRDefault="007B3EEC">
      <w:pPr>
        <w:widowControl w:val="0"/>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We are left to conclude that flood due to earth movement is excluded, as per the terms of the Warehouse Endorsement. In that situation, then perhaps a “flood is a flood.” But those circumstances do not exist here.</w:t>
      </w:r>
    </w:p>
    <w:p w14:paraId="68467B7F" w14:textId="77777777" w:rsidR="006F0DEA" w:rsidRDefault="007B3EEC">
      <w:pPr>
        <w:widowControl w:val="0"/>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w:t>
      </w:r>
    </w:p>
    <w:p w14:paraId="72FCA8CD" w14:textId="7F29E39F" w:rsidR="006F0DEA" w:rsidRDefault="007B3EEC">
      <w:pPr>
        <w:widowControl w:val="0"/>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As we have shown, “the insurance policy’s language is ‘insufficiently clear to justify depriving the insured of her reasonable expectation that coverage would be provided,’ the policy must be interpreted in favor of the insured.” </w:t>
      </w:r>
      <w:hyperlink r:id="rId22" w:anchor="co_pp_sp_506_74" w:history="1">
        <w:r>
          <w:rPr>
            <w:rFonts w:ascii="Times New Roman" w:hAnsi="Times New Roman" w:cs="Times New Roman"/>
            <w:i/>
            <w:iCs/>
            <w:color w:val="0000FF"/>
            <w:sz w:val="26"/>
            <w:szCs w:val="26"/>
            <w:u w:val="single"/>
          </w:rPr>
          <w:t>Royal Ins. Co. of America</w:t>
        </w:r>
        <w:r>
          <w:rPr>
            <w:rFonts w:ascii="Times New Roman" w:hAnsi="Times New Roman" w:cs="Times New Roman"/>
            <w:color w:val="0000FF"/>
            <w:sz w:val="26"/>
            <w:szCs w:val="26"/>
            <w:u w:val="single"/>
          </w:rPr>
          <w:t>, 563 F.3d at 74</w:t>
        </w:r>
      </w:hyperlink>
      <w:r>
        <w:rPr>
          <w:rFonts w:ascii="Times New Roman" w:hAnsi="Times New Roman" w:cs="Times New Roman"/>
          <w:color w:val="000000"/>
          <w:sz w:val="26"/>
          <w:szCs w:val="26"/>
        </w:rPr>
        <w:t xml:space="preserve"> (internal citations omitted). </w:t>
      </w:r>
      <w:r w:rsidR="00190604">
        <w:rPr>
          <w:rFonts w:ascii="Times New Roman" w:hAnsi="Times New Roman" w:cs="Times New Roman"/>
          <w:color w:val="000000"/>
          <w:sz w:val="26"/>
          <w:szCs w:val="26"/>
        </w:rPr>
        <w:t>Roberts</w:t>
      </w:r>
      <w:r>
        <w:rPr>
          <w:rFonts w:ascii="Times New Roman" w:hAnsi="Times New Roman" w:cs="Times New Roman"/>
          <w:color w:val="000000"/>
          <w:sz w:val="26"/>
          <w:szCs w:val="26"/>
        </w:rPr>
        <w:t xml:space="preserve"> cannot be left to guess as to when coverage is afforded versus when coverage is excluded. </w:t>
      </w:r>
      <w:r w:rsidR="00190604">
        <w:rPr>
          <w:rFonts w:ascii="Times New Roman" w:hAnsi="Times New Roman" w:cs="Times New Roman"/>
          <w:color w:val="000000"/>
          <w:sz w:val="26"/>
          <w:szCs w:val="26"/>
        </w:rPr>
        <w:t>Northern</w:t>
      </w:r>
      <w:r>
        <w:rPr>
          <w:rFonts w:ascii="Times New Roman" w:hAnsi="Times New Roman" w:cs="Times New Roman"/>
          <w:color w:val="000000"/>
          <w:sz w:val="26"/>
          <w:szCs w:val="26"/>
        </w:rPr>
        <w:t xml:space="preserve"> cannot meet its burden of proof on the applicability of this exclusion. Given </w:t>
      </w:r>
      <w:proofErr w:type="gramStart"/>
      <w:r>
        <w:rPr>
          <w:rFonts w:ascii="Times New Roman" w:hAnsi="Times New Roman" w:cs="Times New Roman"/>
          <w:color w:val="000000"/>
          <w:sz w:val="26"/>
          <w:szCs w:val="26"/>
        </w:rPr>
        <w:t>all of</w:t>
      </w:r>
      <w:proofErr w:type="gramEnd"/>
      <w:r>
        <w:rPr>
          <w:rFonts w:ascii="Times New Roman" w:hAnsi="Times New Roman" w:cs="Times New Roman"/>
          <w:color w:val="000000"/>
          <w:sz w:val="26"/>
          <w:szCs w:val="26"/>
        </w:rPr>
        <w:t xml:space="preserve"> the ambiguities, the exclusion is inoperative. The ambiguities created by </w:t>
      </w:r>
      <w:proofErr w:type="spellStart"/>
      <w:r w:rsidR="00190604">
        <w:rPr>
          <w:rFonts w:ascii="Times New Roman" w:hAnsi="Times New Roman" w:cs="Times New Roman"/>
          <w:color w:val="000000"/>
          <w:sz w:val="26"/>
          <w:szCs w:val="26"/>
        </w:rPr>
        <w:t>Northern’s</w:t>
      </w:r>
      <w:proofErr w:type="spellEnd"/>
      <w:r>
        <w:rPr>
          <w:rFonts w:ascii="Times New Roman" w:hAnsi="Times New Roman" w:cs="Times New Roman"/>
          <w:color w:val="000000"/>
          <w:sz w:val="26"/>
          <w:szCs w:val="26"/>
        </w:rPr>
        <w:t xml:space="preserve"> attempt to apply the flood exclusion to this loss are overwhelming. Its motion must be </w:t>
      </w:r>
      <w:proofErr w:type="gramStart"/>
      <w:r>
        <w:rPr>
          <w:rFonts w:ascii="Times New Roman" w:hAnsi="Times New Roman" w:cs="Times New Roman"/>
          <w:color w:val="000000"/>
          <w:sz w:val="26"/>
          <w:szCs w:val="26"/>
        </w:rPr>
        <w:t>denied</w:t>
      </w:r>
      <w:proofErr w:type="gramEnd"/>
      <w:r>
        <w:rPr>
          <w:rFonts w:ascii="Times New Roman" w:hAnsi="Times New Roman" w:cs="Times New Roman"/>
          <w:color w:val="000000"/>
          <w:sz w:val="26"/>
          <w:szCs w:val="26"/>
        </w:rPr>
        <w:t xml:space="preserve"> and </w:t>
      </w:r>
      <w:r w:rsidR="00190604">
        <w:rPr>
          <w:rFonts w:ascii="Times New Roman" w:hAnsi="Times New Roman" w:cs="Times New Roman"/>
          <w:color w:val="000000"/>
          <w:sz w:val="26"/>
          <w:szCs w:val="26"/>
        </w:rPr>
        <w:t>Roberts</w:t>
      </w:r>
      <w:r>
        <w:rPr>
          <w:rFonts w:ascii="Times New Roman" w:hAnsi="Times New Roman" w:cs="Times New Roman"/>
          <w:color w:val="000000"/>
          <w:sz w:val="26"/>
          <w:szCs w:val="26"/>
        </w:rPr>
        <w:t xml:space="preserve"> motion must be granted.</w:t>
      </w:r>
    </w:p>
    <w:p w14:paraId="61E4AF5D" w14:textId="77777777" w:rsidR="006F0DEA" w:rsidRDefault="007B3EEC">
      <w:pPr>
        <w:widowControl w:val="0"/>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w:t>
      </w:r>
    </w:p>
    <w:p w14:paraId="1D287C65" w14:textId="77777777" w:rsidR="006F0DEA" w:rsidRDefault="007B3EEC">
      <w:pPr>
        <w:widowControl w:val="0"/>
        <w:autoSpaceDE w:val="0"/>
        <w:autoSpaceDN w:val="0"/>
        <w:adjustRightInd w:val="0"/>
        <w:spacing w:before="520" w:after="260" w:line="240" w:lineRule="auto"/>
        <w:jc w:val="center"/>
        <w:rPr>
          <w:rFonts w:ascii="Times New Roman" w:hAnsi="Times New Roman" w:cs="Times New Roman"/>
          <w:b/>
          <w:bCs/>
          <w:i/>
          <w:iCs/>
          <w:color w:val="000000"/>
          <w:sz w:val="26"/>
          <w:szCs w:val="26"/>
        </w:rPr>
      </w:pPr>
      <w:r>
        <w:rPr>
          <w:rFonts w:ascii="Times New Roman" w:hAnsi="Times New Roman" w:cs="Times New Roman"/>
          <w:b/>
          <w:bCs/>
          <w:i/>
          <w:iCs/>
          <w:color w:val="000000"/>
          <w:sz w:val="26"/>
          <w:szCs w:val="26"/>
        </w:rPr>
        <w:t>c. The Exclusion is not Properly Drafted to Deny Coverage</w:t>
      </w:r>
    </w:p>
    <w:p w14:paraId="353900F7" w14:textId="11EB65A2" w:rsidR="006F0DEA" w:rsidRDefault="007B3EEC">
      <w:pPr>
        <w:widowControl w:val="0"/>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Even if the Court determines that the flood exclusion is not ambiguous, which </w:t>
      </w:r>
      <w:r w:rsidR="00190604">
        <w:rPr>
          <w:rFonts w:ascii="Times New Roman" w:hAnsi="Times New Roman" w:cs="Times New Roman"/>
          <w:color w:val="000000"/>
          <w:sz w:val="26"/>
          <w:szCs w:val="26"/>
        </w:rPr>
        <w:t>Roberts</w:t>
      </w:r>
      <w:r>
        <w:rPr>
          <w:rFonts w:ascii="Times New Roman" w:hAnsi="Times New Roman" w:cs="Times New Roman"/>
          <w:color w:val="000000"/>
          <w:sz w:val="26"/>
          <w:szCs w:val="26"/>
        </w:rPr>
        <w:t xml:space="preserve"> denies, the exclusion would still not apply in cases such as this one, where there is no conditional language </w:t>
      </w:r>
      <w:r>
        <w:rPr>
          <w:rFonts w:ascii="Times New Roman" w:hAnsi="Times New Roman" w:cs="Times New Roman"/>
          <w:color w:val="000000"/>
          <w:sz w:val="26"/>
          <w:szCs w:val="26"/>
        </w:rPr>
        <w:lastRenderedPageBreak/>
        <w:t xml:space="preserve">within the exclusion to make it effective. </w:t>
      </w:r>
      <w:r w:rsidR="00190604">
        <w:rPr>
          <w:rFonts w:ascii="Times New Roman" w:hAnsi="Times New Roman" w:cs="Times New Roman"/>
          <w:color w:val="000000"/>
          <w:sz w:val="26"/>
          <w:szCs w:val="26"/>
        </w:rPr>
        <w:t>Northern</w:t>
      </w:r>
      <w:r>
        <w:rPr>
          <w:rFonts w:ascii="Times New Roman" w:hAnsi="Times New Roman" w:cs="Times New Roman"/>
          <w:color w:val="000000"/>
          <w:sz w:val="26"/>
          <w:szCs w:val="26"/>
        </w:rPr>
        <w:t xml:space="preserve"> could have eliminated this defect in the flood exclusion by properly drafting its policy language. Because they failed to do so, </w:t>
      </w:r>
      <w:r w:rsidR="00190604">
        <w:rPr>
          <w:rFonts w:ascii="Times New Roman" w:hAnsi="Times New Roman" w:cs="Times New Roman"/>
          <w:color w:val="000000"/>
          <w:sz w:val="26"/>
          <w:szCs w:val="26"/>
        </w:rPr>
        <w:t>Roberts</w:t>
      </w:r>
      <w:r>
        <w:rPr>
          <w:rFonts w:ascii="Times New Roman" w:hAnsi="Times New Roman" w:cs="Times New Roman"/>
          <w:color w:val="000000"/>
          <w:sz w:val="26"/>
          <w:szCs w:val="26"/>
        </w:rPr>
        <w:t>’ claim is covered in full.</w:t>
      </w:r>
    </w:p>
    <w:p w14:paraId="66E6C823" w14:textId="77777777" w:rsidR="006F0DEA" w:rsidRDefault="007B3EEC">
      <w:pPr>
        <w:widowControl w:val="0"/>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w:t>
      </w:r>
    </w:p>
    <w:p w14:paraId="3E98E0B3" w14:textId="066188C5" w:rsidR="006F0DEA" w:rsidRDefault="007B3EEC">
      <w:pPr>
        <w:widowControl w:val="0"/>
        <w:autoSpaceDE w:val="0"/>
        <w:autoSpaceDN w:val="0"/>
        <w:adjustRightInd w:val="0"/>
        <w:spacing w:after="0" w:line="240" w:lineRule="auto"/>
        <w:jc w:val="both"/>
        <w:rPr>
          <w:rFonts w:ascii="Times New Roman" w:hAnsi="Times New Roman" w:cs="Times New Roman"/>
          <w:i/>
          <w:iCs/>
          <w:color w:val="000000"/>
          <w:sz w:val="26"/>
          <w:szCs w:val="26"/>
        </w:rPr>
      </w:pPr>
      <w:r>
        <w:rPr>
          <w:rFonts w:ascii="Times New Roman" w:hAnsi="Times New Roman" w:cs="Times New Roman"/>
          <w:color w:val="000000"/>
          <w:sz w:val="26"/>
          <w:szCs w:val="26"/>
        </w:rPr>
        <w:t xml:space="preserve">When a court looks to exclusionary clauses in insurance policies, it will “read the contract as a whole to effectuate the overall intent of the parties.” </w:t>
      </w:r>
      <w:hyperlink r:id="rId23" w:anchor="co_pp_sp_595_275" w:history="1">
        <w:r>
          <w:rPr>
            <w:rFonts w:ascii="Times New Roman" w:hAnsi="Times New Roman" w:cs="Times New Roman"/>
            <w:i/>
            <w:iCs/>
            <w:color w:val="0000FF"/>
            <w:sz w:val="26"/>
            <w:szCs w:val="26"/>
            <w:u w:val="single"/>
          </w:rPr>
          <w:t>Hayley v. Allstate Ins. Co.</w:t>
        </w:r>
        <w:r>
          <w:rPr>
            <w:rFonts w:ascii="Times New Roman" w:hAnsi="Times New Roman" w:cs="Times New Roman"/>
            <w:color w:val="0000FF"/>
            <w:sz w:val="26"/>
            <w:szCs w:val="26"/>
            <w:u w:val="single"/>
          </w:rPr>
          <w:t>, 686 N.W.2d 273, 275 (Mich. Ct. App. 2004)</w:t>
        </w:r>
      </w:hyperlink>
      <w:r>
        <w:rPr>
          <w:rFonts w:ascii="Times New Roman" w:hAnsi="Times New Roman" w:cs="Times New Roman"/>
          <w:color w:val="000000"/>
          <w:sz w:val="26"/>
          <w:szCs w:val="26"/>
        </w:rPr>
        <w:t xml:space="preserve"> </w:t>
      </w:r>
      <w:r>
        <w:rPr>
          <w:rFonts w:ascii="Times New Roman" w:hAnsi="Times New Roman" w:cs="Times New Roman"/>
          <w:i/>
          <w:iCs/>
          <w:color w:val="000000"/>
          <w:sz w:val="26"/>
          <w:szCs w:val="26"/>
        </w:rPr>
        <w:t xml:space="preserve">citing </w:t>
      </w:r>
      <w:hyperlink r:id="rId24" w:history="1">
        <w:r>
          <w:rPr>
            <w:rFonts w:ascii="Times New Roman" w:hAnsi="Times New Roman" w:cs="Times New Roman"/>
            <w:i/>
            <w:iCs/>
            <w:color w:val="0000FF"/>
            <w:sz w:val="26"/>
            <w:szCs w:val="26"/>
            <w:u w:val="single"/>
          </w:rPr>
          <w:t>Pacific Employers Ins. Co. v. Michigan Mut. Ins. Co.</w:t>
        </w:r>
        <w:r>
          <w:rPr>
            <w:rFonts w:ascii="Times New Roman" w:hAnsi="Times New Roman" w:cs="Times New Roman"/>
            <w:color w:val="0000FF"/>
            <w:sz w:val="26"/>
            <w:szCs w:val="26"/>
            <w:u w:val="single"/>
          </w:rPr>
          <w:t>, 549 N.W.2d 872 (1996)</w:t>
        </w:r>
      </w:hyperlink>
      <w:r>
        <w:rPr>
          <w:rFonts w:ascii="Times New Roman" w:hAnsi="Times New Roman" w:cs="Times New Roman"/>
          <w:color w:val="000000"/>
          <w:sz w:val="26"/>
          <w:szCs w:val="26"/>
        </w:rPr>
        <w:t xml:space="preserve">. As stated, flood is not defined. </w:t>
      </w:r>
      <w:r>
        <w:rPr>
          <w:rFonts w:ascii="Times New Roman" w:hAnsi="Times New Roman" w:cs="Times New Roman"/>
          <w:i/>
          <w:iCs/>
          <w:color w:val="000000"/>
          <w:sz w:val="26"/>
          <w:szCs w:val="26"/>
        </w:rPr>
        <w:t xml:space="preserve">Branson Decl. ¶20; </w:t>
      </w:r>
      <w:r w:rsidR="00190604">
        <w:rPr>
          <w:rFonts w:ascii="Times New Roman" w:hAnsi="Times New Roman" w:cs="Times New Roman"/>
          <w:i/>
          <w:iCs/>
          <w:color w:val="000000"/>
          <w:sz w:val="26"/>
          <w:szCs w:val="26"/>
        </w:rPr>
        <w:t>Orville</w:t>
      </w:r>
      <w:r>
        <w:rPr>
          <w:rFonts w:ascii="Times New Roman" w:hAnsi="Times New Roman" w:cs="Times New Roman"/>
          <w:i/>
          <w:iCs/>
          <w:color w:val="000000"/>
          <w:sz w:val="26"/>
          <w:szCs w:val="26"/>
        </w:rPr>
        <w:t xml:space="preserve"> Decl. </w:t>
      </w:r>
      <w:proofErr w:type="spellStart"/>
      <w:r>
        <w:rPr>
          <w:rFonts w:ascii="Times New Roman" w:hAnsi="Times New Roman" w:cs="Times New Roman"/>
          <w:i/>
          <w:iCs/>
          <w:color w:val="000000"/>
          <w:sz w:val="26"/>
          <w:szCs w:val="26"/>
        </w:rPr>
        <w:t>Exh</w:t>
      </w:r>
      <w:proofErr w:type="spellEnd"/>
      <w:r>
        <w:rPr>
          <w:rFonts w:ascii="Times New Roman" w:hAnsi="Times New Roman" w:cs="Times New Roman"/>
          <w:i/>
          <w:iCs/>
          <w:color w:val="000000"/>
          <w:sz w:val="26"/>
          <w:szCs w:val="26"/>
        </w:rPr>
        <w:t>. 1 ¶15.</w:t>
      </w:r>
    </w:p>
    <w:p w14:paraId="09F101C8" w14:textId="77777777" w:rsidR="006F0DEA" w:rsidRDefault="007B3EEC">
      <w:pPr>
        <w:widowControl w:val="0"/>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w:t>
      </w:r>
    </w:p>
    <w:p w14:paraId="7DDE0575" w14:textId="42BDE191" w:rsidR="006F0DEA" w:rsidRDefault="007B3EEC">
      <w:pPr>
        <w:widowControl w:val="0"/>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Further, because there is no anti-concurrent language within the exclusionary clause, it is ineffective in this case. These clauses, or variations thereof, are commonly referred to as “anti-concurrent causation clauses,” and </w:t>
      </w:r>
      <w:r>
        <w:rPr>
          <w:rFonts w:ascii="Times New Roman" w:hAnsi="Times New Roman" w:cs="Times New Roman"/>
          <w:b/>
          <w:bCs/>
          <w:i/>
          <w:iCs/>
          <w:color w:val="000000"/>
          <w:sz w:val="26"/>
          <w:szCs w:val="26"/>
        </w:rPr>
        <w:t>if drafted properly</w:t>
      </w:r>
      <w:r>
        <w:rPr>
          <w:rFonts w:ascii="Times New Roman" w:hAnsi="Times New Roman" w:cs="Times New Roman"/>
          <w:color w:val="000000"/>
          <w:sz w:val="26"/>
          <w:szCs w:val="26"/>
        </w:rPr>
        <w:t xml:space="preserve">, they will exclude coverage for covered perils if an excluded peril also occurs to cause the loss. They are valid under New Jersey law. </w:t>
      </w:r>
      <w:r>
        <w:rPr>
          <w:rFonts w:ascii="Times New Roman" w:hAnsi="Times New Roman" w:cs="Times New Roman"/>
          <w:i/>
          <w:iCs/>
          <w:color w:val="000000"/>
          <w:sz w:val="26"/>
          <w:szCs w:val="26"/>
        </w:rPr>
        <w:t>See e.g.</w:t>
      </w:r>
      <w:r>
        <w:rPr>
          <w:rFonts w:ascii="Times New Roman" w:hAnsi="Times New Roman" w:cs="Times New Roman"/>
          <w:color w:val="000000"/>
          <w:sz w:val="26"/>
          <w:szCs w:val="26"/>
        </w:rPr>
        <w:t xml:space="preserve">, </w:t>
      </w:r>
      <w:proofErr w:type="spellStart"/>
      <w:r>
        <w:rPr>
          <w:rFonts w:ascii="Times New Roman" w:hAnsi="Times New Roman" w:cs="Times New Roman"/>
          <w:i/>
          <w:iCs/>
          <w:color w:val="000000"/>
          <w:sz w:val="26"/>
          <w:szCs w:val="26"/>
        </w:rPr>
        <w:t>Petrick</w:t>
      </w:r>
      <w:proofErr w:type="spellEnd"/>
      <w:r>
        <w:rPr>
          <w:rFonts w:ascii="Times New Roman" w:hAnsi="Times New Roman" w:cs="Times New Roman"/>
          <w:i/>
          <w:iCs/>
          <w:color w:val="000000"/>
          <w:sz w:val="26"/>
          <w:szCs w:val="26"/>
        </w:rPr>
        <w:t xml:space="preserve"> v. State Farm Fire &amp; Cas. Co., No. A-1152-09T3</w:t>
      </w:r>
      <w:r>
        <w:rPr>
          <w:rFonts w:ascii="Times New Roman" w:hAnsi="Times New Roman" w:cs="Times New Roman"/>
          <w:color w:val="000000"/>
          <w:sz w:val="26"/>
          <w:szCs w:val="26"/>
        </w:rPr>
        <w:t xml:space="preserve">, 2010 N.J. Super. </w:t>
      </w:r>
      <w:proofErr w:type="spellStart"/>
      <w:r>
        <w:rPr>
          <w:rFonts w:ascii="Times New Roman" w:hAnsi="Times New Roman" w:cs="Times New Roman"/>
          <w:color w:val="000000"/>
          <w:sz w:val="26"/>
          <w:szCs w:val="26"/>
        </w:rPr>
        <w:t>Unpub</w:t>
      </w:r>
      <w:proofErr w:type="spellEnd"/>
      <w:r>
        <w:rPr>
          <w:rFonts w:ascii="Times New Roman" w:hAnsi="Times New Roman" w:cs="Times New Roman"/>
          <w:color w:val="000000"/>
          <w:sz w:val="26"/>
          <w:szCs w:val="26"/>
        </w:rPr>
        <w:t xml:space="preserve">. LEXIS 1964, at *16-17 (App. Div. </w:t>
      </w:r>
      <w:r w:rsidR="00DF61CD">
        <w:rPr>
          <w:rFonts w:ascii="Times New Roman" w:hAnsi="Times New Roman" w:cs="Times New Roman"/>
          <w:color w:val="000000"/>
          <w:sz w:val="26"/>
          <w:szCs w:val="26"/>
        </w:rPr>
        <w:t>A</w:t>
      </w:r>
      <w:r w:rsidR="00D31D90">
        <w:rPr>
          <w:rFonts w:ascii="Times New Roman" w:hAnsi="Times New Roman" w:cs="Times New Roman"/>
          <w:color w:val="000000"/>
          <w:sz w:val="26"/>
          <w:szCs w:val="26"/>
        </w:rPr>
        <w:t xml:space="preserve">ugust 13, </w:t>
      </w:r>
      <w:r>
        <w:rPr>
          <w:rFonts w:ascii="Times New Roman" w:hAnsi="Times New Roman" w:cs="Times New Roman"/>
          <w:color w:val="000000"/>
          <w:sz w:val="26"/>
          <w:szCs w:val="26"/>
        </w:rPr>
        <w:t xml:space="preserve">2010) (anti-sequential clause does not violate New Jersey public policy). The same is also true in Connecticut, as well as many other jurisdictions. </w:t>
      </w:r>
      <w:r>
        <w:rPr>
          <w:rFonts w:ascii="Times New Roman" w:hAnsi="Times New Roman" w:cs="Times New Roman"/>
          <w:i/>
          <w:iCs/>
          <w:color w:val="000000"/>
          <w:sz w:val="26"/>
          <w:szCs w:val="26"/>
        </w:rPr>
        <w:t>See e.g., Union Street Furniture and Carpet, Inc. v. Peerless Indemnity Ins. Co.</w:t>
      </w:r>
      <w:r>
        <w:rPr>
          <w:rFonts w:ascii="Times New Roman" w:hAnsi="Times New Roman" w:cs="Times New Roman"/>
          <w:color w:val="000000"/>
          <w:sz w:val="26"/>
          <w:szCs w:val="26"/>
        </w:rPr>
        <w:t xml:space="preserve">, 2013 Conn. Super. LEXIS 1504 (Conn Super. July 3, 2013) (damage caused by roof leaks, if otherwise covered, “is excluded by what is generally referred to as “anti-concurrent clause.”); </w:t>
      </w:r>
      <w:hyperlink r:id="rId25" w:history="1">
        <w:proofErr w:type="spellStart"/>
        <w:r>
          <w:rPr>
            <w:rFonts w:ascii="Times New Roman" w:hAnsi="Times New Roman" w:cs="Times New Roman"/>
            <w:i/>
            <w:iCs/>
            <w:color w:val="0000FF"/>
            <w:sz w:val="26"/>
            <w:szCs w:val="26"/>
            <w:u w:val="single"/>
          </w:rPr>
          <w:t>Alamia</w:t>
        </w:r>
        <w:proofErr w:type="spellEnd"/>
        <w:r>
          <w:rPr>
            <w:rFonts w:ascii="Times New Roman" w:hAnsi="Times New Roman" w:cs="Times New Roman"/>
            <w:i/>
            <w:iCs/>
            <w:color w:val="0000FF"/>
            <w:sz w:val="26"/>
            <w:szCs w:val="26"/>
            <w:u w:val="single"/>
          </w:rPr>
          <w:t xml:space="preserve"> v. Nationwide Mut. Fire Ins. Co</w:t>
        </w:r>
        <w:r>
          <w:rPr>
            <w:rFonts w:ascii="Times New Roman" w:hAnsi="Times New Roman" w:cs="Times New Roman"/>
            <w:color w:val="0000FF"/>
            <w:sz w:val="26"/>
            <w:szCs w:val="26"/>
            <w:u w:val="single"/>
          </w:rPr>
          <w:t>, 495 F. Supp. 2d 362 (S.D.N.Y. 2007)</w:t>
        </w:r>
      </w:hyperlink>
      <w:r>
        <w:rPr>
          <w:rFonts w:ascii="Times New Roman" w:hAnsi="Times New Roman" w:cs="Times New Roman"/>
          <w:color w:val="000000"/>
          <w:sz w:val="26"/>
          <w:szCs w:val="26"/>
        </w:rPr>
        <w:t xml:space="preserve">; </w:t>
      </w:r>
      <w:hyperlink r:id="rId26" w:anchor="co_pp_sp_506_1347" w:history="1">
        <w:r>
          <w:rPr>
            <w:rFonts w:ascii="Times New Roman" w:hAnsi="Times New Roman" w:cs="Times New Roman"/>
            <w:i/>
            <w:iCs/>
            <w:color w:val="0000FF"/>
            <w:sz w:val="26"/>
            <w:szCs w:val="26"/>
            <w:u w:val="single"/>
          </w:rPr>
          <w:t>Front Row Theater v. American Manufacturers Mutual Ins. Co.</w:t>
        </w:r>
        <w:r>
          <w:rPr>
            <w:rFonts w:ascii="Times New Roman" w:hAnsi="Times New Roman" w:cs="Times New Roman"/>
            <w:color w:val="0000FF"/>
            <w:sz w:val="26"/>
            <w:szCs w:val="26"/>
            <w:u w:val="single"/>
          </w:rPr>
          <w:t>, 18 F.3d 1343, 1347 (6th Cir. 1994)</w:t>
        </w:r>
      </w:hyperlink>
      <w:r>
        <w:rPr>
          <w:rFonts w:ascii="Times New Roman" w:hAnsi="Times New Roman" w:cs="Times New Roman"/>
          <w:color w:val="000000"/>
          <w:sz w:val="26"/>
          <w:szCs w:val="26"/>
        </w:rPr>
        <w:t xml:space="preserve"> (where flood was contributing cause of loss, loss was not covered </w:t>
      </w:r>
      <w:r>
        <w:rPr>
          <w:rFonts w:ascii="Times New Roman" w:hAnsi="Times New Roman" w:cs="Times New Roman"/>
          <w:i/>
          <w:iCs/>
          <w:color w:val="000000"/>
          <w:sz w:val="26"/>
          <w:szCs w:val="26"/>
        </w:rPr>
        <w:t>because of anti-concurrent language</w:t>
      </w:r>
      <w:r>
        <w:rPr>
          <w:rFonts w:ascii="Times New Roman" w:hAnsi="Times New Roman" w:cs="Times New Roman"/>
          <w:color w:val="000000"/>
          <w:sz w:val="26"/>
          <w:szCs w:val="26"/>
        </w:rPr>
        <w:t xml:space="preserve"> in policy (emphasis added)).</w:t>
      </w:r>
    </w:p>
    <w:p w14:paraId="4984555C" w14:textId="77777777" w:rsidR="006F0DEA" w:rsidRDefault="007B3EEC">
      <w:pPr>
        <w:widowControl w:val="0"/>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w:t>
      </w:r>
    </w:p>
    <w:p w14:paraId="74CB8E00" w14:textId="77777777" w:rsidR="006F0DEA" w:rsidRDefault="007B3EEC">
      <w:pPr>
        <w:widowControl w:val="0"/>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However, in order to be effective, anti-concurrent language in an insurance policy </w:t>
      </w:r>
      <w:r>
        <w:rPr>
          <w:rFonts w:ascii="Times New Roman" w:hAnsi="Times New Roman" w:cs="Times New Roman"/>
          <w:b/>
          <w:bCs/>
          <w:i/>
          <w:iCs/>
          <w:color w:val="000000"/>
          <w:sz w:val="26"/>
          <w:szCs w:val="26"/>
        </w:rPr>
        <w:t xml:space="preserve">must be </w:t>
      </w:r>
      <w:bookmarkStart w:id="3" w:name="_GoBack"/>
      <w:bookmarkEnd w:id="3"/>
      <w:r>
        <w:rPr>
          <w:rFonts w:ascii="Times New Roman" w:hAnsi="Times New Roman" w:cs="Times New Roman"/>
          <w:b/>
          <w:bCs/>
          <w:i/>
          <w:iCs/>
          <w:color w:val="000000"/>
          <w:sz w:val="26"/>
          <w:szCs w:val="26"/>
        </w:rPr>
        <w:t>expressly included, in clear and unambiguous language</w:t>
      </w:r>
      <w:r>
        <w:rPr>
          <w:rFonts w:ascii="Times New Roman" w:hAnsi="Times New Roman" w:cs="Times New Roman"/>
          <w:color w:val="000000"/>
          <w:sz w:val="26"/>
          <w:szCs w:val="26"/>
        </w:rPr>
        <w:t xml:space="preserve">. For example, in </w:t>
      </w:r>
      <w:hyperlink r:id="rId27" w:anchor="co_pp_sp_590_431" w:history="1">
        <w:r>
          <w:rPr>
            <w:rFonts w:ascii="Times New Roman" w:hAnsi="Times New Roman" w:cs="Times New Roman"/>
            <w:i/>
            <w:iCs/>
            <w:color w:val="0000FF"/>
            <w:sz w:val="26"/>
            <w:szCs w:val="26"/>
            <w:u w:val="single"/>
          </w:rPr>
          <w:t>Simonetti v. Selective Insurance Co.</w:t>
        </w:r>
        <w:r>
          <w:rPr>
            <w:rFonts w:ascii="Times New Roman" w:hAnsi="Times New Roman" w:cs="Times New Roman"/>
            <w:color w:val="0000FF"/>
            <w:sz w:val="26"/>
            <w:szCs w:val="26"/>
            <w:u w:val="single"/>
          </w:rPr>
          <w:t>, 372 N.J. Super. 421, 431 (App. Div. 2004)</w:t>
        </w:r>
      </w:hyperlink>
      <w:r>
        <w:rPr>
          <w:rFonts w:ascii="Times New Roman" w:hAnsi="Times New Roman" w:cs="Times New Roman"/>
          <w:color w:val="000000"/>
          <w:sz w:val="26"/>
          <w:szCs w:val="26"/>
        </w:rPr>
        <w:t xml:space="preserve"> the Court stated:</w:t>
      </w:r>
    </w:p>
    <w:p w14:paraId="40137F33" w14:textId="77777777" w:rsidR="006F0DEA" w:rsidRDefault="007B3EEC">
      <w:pPr>
        <w:widowControl w:val="0"/>
        <w:autoSpaceDE w:val="0"/>
        <w:autoSpaceDN w:val="0"/>
        <w:adjustRightInd w:val="0"/>
        <w:spacing w:before="400" w:after="400" w:line="240" w:lineRule="auto"/>
        <w:ind w:left="800" w:right="800"/>
        <w:jc w:val="both"/>
        <w:rPr>
          <w:rFonts w:ascii="Times New Roman" w:hAnsi="Times New Roman" w:cs="Times New Roman"/>
          <w:color w:val="000000"/>
          <w:sz w:val="26"/>
          <w:szCs w:val="26"/>
        </w:rPr>
      </w:pPr>
      <w:r>
        <w:rPr>
          <w:rFonts w:ascii="Times New Roman" w:hAnsi="Times New Roman" w:cs="Times New Roman"/>
          <w:color w:val="000000"/>
          <w:sz w:val="26"/>
          <w:szCs w:val="26"/>
        </w:rPr>
        <w:t>The fact that two or more identifiable causes -- one a covered event and one excluded -- may contribute to a single property loss does not necessarily bar coverage. In the first place, the [insurance] policy does not contain an anti-concurrent or anti-sequential clause in Exclusion 2a … which would exclude coverage when a prescribed excluded peril, alongside a covered peril, either simultaneously or sequentially, causes damage to the insured.... Significantly, however, [the insurer] did include such an anti-sequential and anti-concurrent clause in Exclusion 1 for Earth Movement, etc., evidencing a clear intention to bar coverage in the latter but not the former.</w:t>
      </w:r>
    </w:p>
    <w:p w14:paraId="4703A244" w14:textId="77777777" w:rsidR="006F0DEA" w:rsidRDefault="007B3EEC">
      <w:pPr>
        <w:widowControl w:val="0"/>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w:t>
      </w:r>
    </w:p>
    <w:p w14:paraId="7174E344" w14:textId="77777777" w:rsidR="006F0DEA" w:rsidRDefault="007B3EEC">
      <w:pPr>
        <w:widowControl w:val="0"/>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w:t>
      </w:r>
    </w:p>
    <w:p w14:paraId="2C3F9C5E" w14:textId="29468436" w:rsidR="006F0DEA" w:rsidRDefault="00190604">
      <w:pPr>
        <w:widowControl w:val="0"/>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Northern</w:t>
      </w:r>
      <w:r w:rsidR="007B3EEC">
        <w:rPr>
          <w:rFonts w:ascii="Times New Roman" w:hAnsi="Times New Roman" w:cs="Times New Roman"/>
          <w:color w:val="000000"/>
          <w:sz w:val="26"/>
          <w:szCs w:val="26"/>
        </w:rPr>
        <w:t xml:space="preserve"> has the same exact problem that the insurer in the </w:t>
      </w:r>
      <w:r w:rsidR="007B3EEC">
        <w:rPr>
          <w:rFonts w:ascii="Times New Roman" w:hAnsi="Times New Roman" w:cs="Times New Roman"/>
          <w:i/>
          <w:iCs/>
          <w:color w:val="000000"/>
          <w:sz w:val="26"/>
          <w:szCs w:val="26"/>
        </w:rPr>
        <w:t>Simonetti</w:t>
      </w:r>
      <w:r w:rsidR="007B3EEC">
        <w:rPr>
          <w:rFonts w:ascii="Times New Roman" w:hAnsi="Times New Roman" w:cs="Times New Roman"/>
          <w:color w:val="000000"/>
          <w:sz w:val="26"/>
          <w:szCs w:val="26"/>
        </w:rPr>
        <w:t xml:space="preserve"> case had. The Policy issued to </w:t>
      </w:r>
      <w:r>
        <w:rPr>
          <w:rFonts w:ascii="Times New Roman" w:hAnsi="Times New Roman" w:cs="Times New Roman"/>
          <w:color w:val="000000"/>
          <w:sz w:val="26"/>
          <w:szCs w:val="26"/>
        </w:rPr>
        <w:t>Roberts</w:t>
      </w:r>
      <w:r w:rsidR="007B3EEC">
        <w:rPr>
          <w:rFonts w:ascii="Times New Roman" w:hAnsi="Times New Roman" w:cs="Times New Roman"/>
          <w:color w:val="000000"/>
          <w:sz w:val="26"/>
          <w:szCs w:val="26"/>
        </w:rPr>
        <w:t xml:space="preserve"> contains no anti-concurrent language in the flood exclusion. The Warehouse Endorsement provides </w:t>
      </w:r>
      <w:r w:rsidR="007B3EEC">
        <w:rPr>
          <w:rFonts w:ascii="Times New Roman" w:hAnsi="Times New Roman" w:cs="Times New Roman"/>
          <w:i/>
          <w:iCs/>
          <w:color w:val="000000"/>
          <w:sz w:val="26"/>
          <w:szCs w:val="26"/>
        </w:rPr>
        <w:t>all risks</w:t>
      </w:r>
      <w:r w:rsidR="007B3EEC">
        <w:rPr>
          <w:rFonts w:ascii="Times New Roman" w:hAnsi="Times New Roman" w:cs="Times New Roman"/>
          <w:color w:val="000000"/>
          <w:sz w:val="26"/>
          <w:szCs w:val="26"/>
        </w:rPr>
        <w:t xml:space="preserve"> coverage for the insured goods. The flood exclusion simply states that “the peril of Flood is excluded.” That bare language alone is not enough to deny coverage here. If </w:t>
      </w:r>
      <w:r>
        <w:rPr>
          <w:rFonts w:ascii="Times New Roman" w:hAnsi="Times New Roman" w:cs="Times New Roman"/>
          <w:color w:val="000000"/>
          <w:sz w:val="26"/>
          <w:szCs w:val="26"/>
        </w:rPr>
        <w:t>Northern</w:t>
      </w:r>
      <w:r w:rsidR="007B3EEC">
        <w:rPr>
          <w:rFonts w:ascii="Times New Roman" w:hAnsi="Times New Roman" w:cs="Times New Roman"/>
          <w:color w:val="000000"/>
          <w:sz w:val="26"/>
          <w:szCs w:val="26"/>
        </w:rPr>
        <w:t xml:space="preserve"> wanted to exclude flood from coverage </w:t>
      </w:r>
      <w:proofErr w:type="gramStart"/>
      <w:r w:rsidR="007B3EEC">
        <w:rPr>
          <w:rFonts w:ascii="Times New Roman" w:hAnsi="Times New Roman" w:cs="Times New Roman"/>
          <w:color w:val="000000"/>
          <w:sz w:val="26"/>
          <w:szCs w:val="26"/>
        </w:rPr>
        <w:t>in the event that</w:t>
      </w:r>
      <w:proofErr w:type="gramEnd"/>
      <w:r w:rsidR="007B3EEC">
        <w:rPr>
          <w:rFonts w:ascii="Times New Roman" w:hAnsi="Times New Roman" w:cs="Times New Roman"/>
          <w:color w:val="000000"/>
          <w:sz w:val="26"/>
          <w:szCs w:val="26"/>
        </w:rPr>
        <w:t xml:space="preserve"> a flood occurred with another covered event, (as </w:t>
      </w:r>
      <w:r>
        <w:rPr>
          <w:rFonts w:ascii="Times New Roman" w:hAnsi="Times New Roman" w:cs="Times New Roman"/>
          <w:color w:val="000000"/>
          <w:sz w:val="26"/>
          <w:szCs w:val="26"/>
        </w:rPr>
        <w:t>Northern</w:t>
      </w:r>
      <w:r w:rsidR="007B3EEC">
        <w:rPr>
          <w:rFonts w:ascii="Times New Roman" w:hAnsi="Times New Roman" w:cs="Times New Roman"/>
          <w:color w:val="000000"/>
          <w:sz w:val="26"/>
          <w:szCs w:val="26"/>
        </w:rPr>
        <w:t xml:space="preserve"> alleges) it could have done so by proper language in the </w:t>
      </w:r>
      <w:r w:rsidR="007B3EEC">
        <w:rPr>
          <w:rFonts w:ascii="Times New Roman" w:hAnsi="Times New Roman" w:cs="Times New Roman"/>
          <w:color w:val="000000"/>
          <w:sz w:val="26"/>
          <w:szCs w:val="26"/>
        </w:rPr>
        <w:lastRenderedPageBreak/>
        <w:t xml:space="preserve">policy. </w:t>
      </w:r>
      <w:r w:rsidR="007B3EEC">
        <w:rPr>
          <w:rFonts w:ascii="Times New Roman" w:hAnsi="Times New Roman" w:cs="Times New Roman"/>
          <w:i/>
          <w:iCs/>
          <w:color w:val="000000"/>
          <w:sz w:val="26"/>
          <w:szCs w:val="26"/>
        </w:rPr>
        <w:t>Simonetti</w:t>
      </w:r>
      <w:r w:rsidR="007B3EEC">
        <w:rPr>
          <w:rFonts w:ascii="Times New Roman" w:hAnsi="Times New Roman" w:cs="Times New Roman"/>
          <w:color w:val="000000"/>
          <w:sz w:val="26"/>
          <w:szCs w:val="26"/>
        </w:rPr>
        <w:t xml:space="preserve"> supports this.</w:t>
      </w:r>
    </w:p>
    <w:p w14:paraId="1F5E94F2" w14:textId="77777777" w:rsidR="006F0DEA" w:rsidRDefault="007B3EEC">
      <w:pPr>
        <w:widowControl w:val="0"/>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w:t>
      </w:r>
    </w:p>
    <w:p w14:paraId="0A84D6BE" w14:textId="0051B6B1" w:rsidR="006F0DEA" w:rsidRDefault="007B3EEC">
      <w:pPr>
        <w:widowControl w:val="0"/>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The flood exclusion in </w:t>
      </w:r>
      <w:r w:rsidR="00190604">
        <w:rPr>
          <w:rFonts w:ascii="Times New Roman" w:hAnsi="Times New Roman" w:cs="Times New Roman"/>
          <w:color w:val="000000"/>
          <w:sz w:val="26"/>
          <w:szCs w:val="26"/>
        </w:rPr>
        <w:t>Roberts</w:t>
      </w:r>
      <w:r>
        <w:rPr>
          <w:rFonts w:ascii="Times New Roman" w:hAnsi="Times New Roman" w:cs="Times New Roman"/>
          <w:color w:val="000000"/>
          <w:sz w:val="26"/>
          <w:szCs w:val="26"/>
        </w:rPr>
        <w:t xml:space="preserve">’ Policy contains no anti-concurrent or anti-sequential clause to be operative here. Significantly, as in </w:t>
      </w:r>
      <w:r>
        <w:rPr>
          <w:rFonts w:ascii="Times New Roman" w:hAnsi="Times New Roman" w:cs="Times New Roman"/>
          <w:i/>
          <w:iCs/>
          <w:color w:val="000000"/>
          <w:sz w:val="26"/>
          <w:szCs w:val="26"/>
        </w:rPr>
        <w:t>Simonetti</w:t>
      </w:r>
      <w:r>
        <w:rPr>
          <w:rFonts w:ascii="Times New Roman" w:hAnsi="Times New Roman" w:cs="Times New Roman"/>
          <w:color w:val="000000"/>
          <w:sz w:val="26"/>
          <w:szCs w:val="26"/>
        </w:rPr>
        <w:t xml:space="preserve">, </w:t>
      </w:r>
      <w:r w:rsidR="00190604">
        <w:rPr>
          <w:rFonts w:ascii="Times New Roman" w:hAnsi="Times New Roman" w:cs="Times New Roman"/>
          <w:color w:val="000000"/>
          <w:sz w:val="26"/>
          <w:szCs w:val="26"/>
        </w:rPr>
        <w:t>Northern</w:t>
      </w:r>
      <w:r>
        <w:rPr>
          <w:rFonts w:ascii="Times New Roman" w:hAnsi="Times New Roman" w:cs="Times New Roman"/>
          <w:color w:val="000000"/>
          <w:sz w:val="26"/>
          <w:szCs w:val="26"/>
        </w:rPr>
        <w:t xml:space="preserve"> did include an anti-concurrent clause in the Warehouse Endorsement under the exclusions</w:t>
      </w:r>
      <w:proofErr w:type="gramStart"/>
      <w:r>
        <w:rPr>
          <w:rFonts w:ascii="Times New Roman" w:hAnsi="Times New Roman" w:cs="Times New Roman"/>
          <w:color w:val="000000"/>
          <w:sz w:val="26"/>
          <w:szCs w:val="26"/>
        </w:rPr>
        <w:t>, in particular, the</w:t>
      </w:r>
      <w:proofErr w:type="gramEnd"/>
      <w:r>
        <w:rPr>
          <w:rFonts w:ascii="Times New Roman" w:hAnsi="Times New Roman" w:cs="Times New Roman"/>
          <w:color w:val="000000"/>
          <w:sz w:val="26"/>
          <w:szCs w:val="26"/>
        </w:rPr>
        <w:t xml:space="preserve"> exclusion for loss of market. It states:</w:t>
      </w:r>
    </w:p>
    <w:p w14:paraId="252EEDCC" w14:textId="77777777" w:rsidR="006F0DEA" w:rsidRDefault="007B3EEC">
      <w:pPr>
        <w:widowControl w:val="0"/>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w:t>
      </w:r>
    </w:p>
    <w:p w14:paraId="14657C7C" w14:textId="77777777" w:rsidR="006F0DEA" w:rsidRDefault="007B3EEC">
      <w:pPr>
        <w:widowControl w:val="0"/>
        <w:autoSpaceDE w:val="0"/>
        <w:autoSpaceDN w:val="0"/>
        <w:adjustRightInd w:val="0"/>
        <w:spacing w:before="520" w:after="260" w:line="240" w:lineRule="auto"/>
        <w:jc w:val="center"/>
        <w:rPr>
          <w:rFonts w:ascii="Times New Roman" w:hAnsi="Times New Roman" w:cs="Times New Roman"/>
          <w:b/>
          <w:bCs/>
          <w:color w:val="000000"/>
          <w:sz w:val="26"/>
          <w:szCs w:val="26"/>
        </w:rPr>
      </w:pPr>
      <w:r>
        <w:rPr>
          <w:rFonts w:ascii="Times New Roman" w:hAnsi="Times New Roman" w:cs="Times New Roman"/>
          <w:b/>
          <w:bCs/>
          <w:color w:val="000000"/>
          <w:sz w:val="26"/>
          <w:szCs w:val="26"/>
        </w:rPr>
        <w:t>C. loss of market or for loss, damage or deterioration arising from delay whether caused by a peril insured against or otherwise.</w:t>
      </w:r>
    </w:p>
    <w:p w14:paraId="14655E91" w14:textId="25CE3CD8" w:rsidR="006F0DEA" w:rsidRDefault="007B3EEC">
      <w:pPr>
        <w:widowControl w:val="0"/>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This shows that </w:t>
      </w:r>
      <w:proofErr w:type="spellStart"/>
      <w:r w:rsidR="00190604">
        <w:rPr>
          <w:rFonts w:ascii="Times New Roman" w:hAnsi="Times New Roman" w:cs="Times New Roman"/>
          <w:color w:val="000000"/>
          <w:sz w:val="26"/>
          <w:szCs w:val="26"/>
        </w:rPr>
        <w:t>Northern’s</w:t>
      </w:r>
      <w:proofErr w:type="spellEnd"/>
      <w:r>
        <w:rPr>
          <w:rFonts w:ascii="Times New Roman" w:hAnsi="Times New Roman" w:cs="Times New Roman"/>
          <w:color w:val="000000"/>
          <w:sz w:val="26"/>
          <w:szCs w:val="26"/>
        </w:rPr>
        <w:t xml:space="preserve"> intended to bar coverage for loss of market or delay, regardless of the cause of the loss, but not for flood. Its inclusion of the language there, but failure to include it with the peril of flood, establishes that </w:t>
      </w:r>
      <w:r w:rsidR="00190604">
        <w:rPr>
          <w:rFonts w:ascii="Times New Roman" w:hAnsi="Times New Roman" w:cs="Times New Roman"/>
          <w:color w:val="000000"/>
          <w:sz w:val="26"/>
          <w:szCs w:val="26"/>
        </w:rPr>
        <w:t>Northern</w:t>
      </w:r>
      <w:r>
        <w:rPr>
          <w:rFonts w:ascii="Times New Roman" w:hAnsi="Times New Roman" w:cs="Times New Roman"/>
          <w:color w:val="000000"/>
          <w:sz w:val="26"/>
          <w:szCs w:val="26"/>
        </w:rPr>
        <w:t xml:space="preserve"> did not intend to exclude flood under these circumstances.</w:t>
      </w:r>
    </w:p>
    <w:p w14:paraId="0FE99906" w14:textId="77777777" w:rsidR="006F0DEA" w:rsidRDefault="007B3EEC">
      <w:pPr>
        <w:widowControl w:val="0"/>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w:t>
      </w:r>
    </w:p>
    <w:p w14:paraId="0FA04570" w14:textId="3A3003A6" w:rsidR="006F0DEA" w:rsidRDefault="00190604">
      <w:pPr>
        <w:widowControl w:val="0"/>
        <w:autoSpaceDE w:val="0"/>
        <w:autoSpaceDN w:val="0"/>
        <w:adjustRightInd w:val="0"/>
        <w:spacing w:after="0" w:line="240" w:lineRule="auto"/>
        <w:jc w:val="both"/>
        <w:rPr>
          <w:rFonts w:ascii="Times New Roman" w:hAnsi="Times New Roman" w:cs="Times New Roman"/>
          <w:i/>
          <w:iCs/>
          <w:color w:val="000000"/>
          <w:sz w:val="26"/>
          <w:szCs w:val="26"/>
        </w:rPr>
      </w:pPr>
      <w:r>
        <w:rPr>
          <w:rFonts w:ascii="Times New Roman" w:hAnsi="Times New Roman" w:cs="Times New Roman"/>
          <w:color w:val="000000"/>
          <w:sz w:val="26"/>
          <w:szCs w:val="26"/>
        </w:rPr>
        <w:t>Northern</w:t>
      </w:r>
      <w:r w:rsidR="007B3EEC">
        <w:rPr>
          <w:rFonts w:ascii="Times New Roman" w:hAnsi="Times New Roman" w:cs="Times New Roman"/>
          <w:color w:val="000000"/>
          <w:sz w:val="26"/>
          <w:szCs w:val="26"/>
        </w:rPr>
        <w:t xml:space="preserve"> is hard pressed to argue that the flood exclusion applies to bar coverage here. </w:t>
      </w:r>
      <w:r>
        <w:rPr>
          <w:rFonts w:ascii="Times New Roman" w:hAnsi="Times New Roman" w:cs="Times New Roman"/>
          <w:color w:val="000000"/>
          <w:sz w:val="26"/>
          <w:szCs w:val="26"/>
        </w:rPr>
        <w:t>Northern</w:t>
      </w:r>
      <w:r w:rsidR="007B3EEC">
        <w:rPr>
          <w:rFonts w:ascii="Times New Roman" w:hAnsi="Times New Roman" w:cs="Times New Roman"/>
          <w:color w:val="000000"/>
          <w:sz w:val="26"/>
          <w:szCs w:val="26"/>
        </w:rPr>
        <w:t xml:space="preserve"> is fully aware of the anti-concurrent language available to it that may have resulted in a proper denial of coverage as evident by the listed exclusion for loss or market or other damage arising from delay “whether caused by a peril insured against or otherwise.” </w:t>
      </w:r>
      <w:r w:rsidR="007B3EEC">
        <w:rPr>
          <w:rFonts w:ascii="Times New Roman" w:hAnsi="Times New Roman" w:cs="Times New Roman"/>
          <w:i/>
          <w:iCs/>
          <w:color w:val="000000"/>
          <w:sz w:val="26"/>
          <w:szCs w:val="26"/>
        </w:rPr>
        <w:t xml:space="preserve">See </w:t>
      </w:r>
      <w:r>
        <w:rPr>
          <w:rFonts w:ascii="Times New Roman" w:hAnsi="Times New Roman" w:cs="Times New Roman"/>
          <w:i/>
          <w:iCs/>
          <w:color w:val="000000"/>
          <w:sz w:val="26"/>
          <w:szCs w:val="26"/>
        </w:rPr>
        <w:t>Orville</w:t>
      </w:r>
      <w:r w:rsidR="007B3EEC">
        <w:rPr>
          <w:rFonts w:ascii="Times New Roman" w:hAnsi="Times New Roman" w:cs="Times New Roman"/>
          <w:i/>
          <w:iCs/>
          <w:color w:val="000000"/>
          <w:sz w:val="26"/>
          <w:szCs w:val="26"/>
        </w:rPr>
        <w:t xml:space="preserve"> Decl. </w:t>
      </w:r>
      <w:proofErr w:type="spellStart"/>
      <w:r w:rsidR="007B3EEC">
        <w:rPr>
          <w:rFonts w:ascii="Times New Roman" w:hAnsi="Times New Roman" w:cs="Times New Roman"/>
          <w:i/>
          <w:iCs/>
          <w:color w:val="000000"/>
          <w:sz w:val="26"/>
          <w:szCs w:val="26"/>
        </w:rPr>
        <w:t>Exh</w:t>
      </w:r>
      <w:proofErr w:type="spellEnd"/>
      <w:r w:rsidR="007B3EEC">
        <w:rPr>
          <w:rFonts w:ascii="Times New Roman" w:hAnsi="Times New Roman" w:cs="Times New Roman"/>
          <w:i/>
          <w:iCs/>
          <w:color w:val="000000"/>
          <w:sz w:val="26"/>
          <w:szCs w:val="26"/>
        </w:rPr>
        <w:t xml:space="preserve">. 2, </w:t>
      </w:r>
      <w:proofErr w:type="spellStart"/>
      <w:r w:rsidR="007B3EEC">
        <w:rPr>
          <w:rFonts w:ascii="Times New Roman" w:hAnsi="Times New Roman" w:cs="Times New Roman"/>
          <w:i/>
          <w:iCs/>
          <w:color w:val="000000"/>
          <w:sz w:val="26"/>
          <w:szCs w:val="26"/>
        </w:rPr>
        <w:t>pg</w:t>
      </w:r>
      <w:proofErr w:type="spellEnd"/>
      <w:r w:rsidR="007B3EEC">
        <w:rPr>
          <w:rFonts w:ascii="Times New Roman" w:hAnsi="Times New Roman" w:cs="Times New Roman"/>
          <w:i/>
          <w:iCs/>
          <w:color w:val="000000"/>
          <w:sz w:val="26"/>
          <w:szCs w:val="26"/>
        </w:rPr>
        <w:t xml:space="preserve"> 1 ¶4(c).</w:t>
      </w:r>
      <w:r w:rsidR="007B3EEC">
        <w:rPr>
          <w:rFonts w:ascii="Times New Roman" w:hAnsi="Times New Roman" w:cs="Times New Roman"/>
          <w:color w:val="000000"/>
          <w:sz w:val="26"/>
          <w:szCs w:val="26"/>
        </w:rPr>
        <w:t xml:space="preserve"> If this similar language was included with the exclusion for “peril of Flood,” and that exclusion was </w:t>
      </w:r>
      <w:proofErr w:type="gramStart"/>
      <w:r w:rsidR="007B3EEC">
        <w:rPr>
          <w:rFonts w:ascii="Times New Roman" w:hAnsi="Times New Roman" w:cs="Times New Roman"/>
          <w:color w:val="000000"/>
          <w:sz w:val="26"/>
          <w:szCs w:val="26"/>
        </w:rPr>
        <w:t>actually listed</w:t>
      </w:r>
      <w:proofErr w:type="gramEnd"/>
      <w:r w:rsidR="007B3EEC">
        <w:rPr>
          <w:rFonts w:ascii="Times New Roman" w:hAnsi="Times New Roman" w:cs="Times New Roman"/>
          <w:color w:val="000000"/>
          <w:sz w:val="26"/>
          <w:szCs w:val="26"/>
        </w:rPr>
        <w:t xml:space="preserve"> under the exclusion section, then perhaps the damage at issue would not be covered. However, such is not the case. </w:t>
      </w:r>
      <w:r w:rsidR="007B3EEC">
        <w:rPr>
          <w:rFonts w:ascii="Times New Roman" w:hAnsi="Times New Roman" w:cs="Times New Roman"/>
          <w:i/>
          <w:iCs/>
          <w:color w:val="000000"/>
          <w:sz w:val="26"/>
          <w:szCs w:val="26"/>
        </w:rPr>
        <w:t>See e.g., Simonetti, supra.</w:t>
      </w:r>
    </w:p>
    <w:p w14:paraId="12948D64" w14:textId="77777777" w:rsidR="006F0DEA" w:rsidRDefault="007B3EEC">
      <w:pPr>
        <w:widowControl w:val="0"/>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w:t>
      </w:r>
    </w:p>
    <w:p w14:paraId="6800F58A" w14:textId="5478CB3E" w:rsidR="006F0DEA" w:rsidRDefault="00190604">
      <w:pPr>
        <w:widowControl w:val="0"/>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Northern</w:t>
      </w:r>
      <w:r w:rsidR="007B3EEC">
        <w:rPr>
          <w:rFonts w:ascii="Times New Roman" w:hAnsi="Times New Roman" w:cs="Times New Roman"/>
          <w:color w:val="000000"/>
          <w:sz w:val="26"/>
          <w:szCs w:val="26"/>
        </w:rPr>
        <w:t xml:space="preserve"> should not be allowed to deny coverage based on an ambiguous provision it could have drafted differently to get the result it is seeking now. </w:t>
      </w:r>
      <w:r>
        <w:rPr>
          <w:rFonts w:ascii="Times New Roman" w:hAnsi="Times New Roman" w:cs="Times New Roman"/>
          <w:color w:val="000000"/>
          <w:sz w:val="26"/>
          <w:szCs w:val="26"/>
        </w:rPr>
        <w:t>Northern</w:t>
      </w:r>
      <w:r w:rsidR="007B3EEC">
        <w:rPr>
          <w:rFonts w:ascii="Times New Roman" w:hAnsi="Times New Roman" w:cs="Times New Roman"/>
          <w:color w:val="000000"/>
          <w:sz w:val="26"/>
          <w:szCs w:val="26"/>
        </w:rPr>
        <w:t xml:space="preserve"> knew better. Its motion must be denied.</w:t>
      </w:r>
    </w:p>
    <w:p w14:paraId="07D8A287" w14:textId="77777777" w:rsidR="006F0DEA" w:rsidRDefault="007B3EEC">
      <w:pPr>
        <w:widowControl w:val="0"/>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w:t>
      </w:r>
    </w:p>
    <w:p w14:paraId="1CDFBE08" w14:textId="2FB029EB" w:rsidR="006F0DEA" w:rsidRDefault="007B3EEC">
      <w:pPr>
        <w:widowControl w:val="0"/>
        <w:autoSpaceDE w:val="0"/>
        <w:autoSpaceDN w:val="0"/>
        <w:adjustRightInd w:val="0"/>
        <w:spacing w:before="520" w:after="260" w:line="240" w:lineRule="auto"/>
        <w:jc w:val="center"/>
        <w:rPr>
          <w:rFonts w:ascii="Times New Roman" w:hAnsi="Times New Roman" w:cs="Times New Roman"/>
          <w:b/>
          <w:bCs/>
          <w:i/>
          <w:iCs/>
          <w:color w:val="000000"/>
          <w:sz w:val="26"/>
          <w:szCs w:val="26"/>
        </w:rPr>
      </w:pPr>
      <w:r>
        <w:rPr>
          <w:rFonts w:ascii="Times New Roman" w:hAnsi="Times New Roman" w:cs="Times New Roman"/>
          <w:b/>
          <w:bCs/>
          <w:i/>
          <w:iCs/>
          <w:color w:val="000000"/>
          <w:sz w:val="26"/>
          <w:szCs w:val="26"/>
        </w:rPr>
        <w:t xml:space="preserve">IV. Cases Cited </w:t>
      </w:r>
      <w:proofErr w:type="gramStart"/>
      <w:r>
        <w:rPr>
          <w:rFonts w:ascii="Times New Roman" w:hAnsi="Times New Roman" w:cs="Times New Roman"/>
          <w:b/>
          <w:bCs/>
          <w:i/>
          <w:iCs/>
          <w:color w:val="000000"/>
          <w:sz w:val="26"/>
          <w:szCs w:val="26"/>
        </w:rPr>
        <w:t>By</w:t>
      </w:r>
      <w:proofErr w:type="gramEnd"/>
      <w:r>
        <w:rPr>
          <w:rFonts w:ascii="Times New Roman" w:hAnsi="Times New Roman" w:cs="Times New Roman"/>
          <w:b/>
          <w:bCs/>
          <w:i/>
          <w:iCs/>
          <w:color w:val="000000"/>
          <w:sz w:val="26"/>
          <w:szCs w:val="26"/>
        </w:rPr>
        <w:t xml:space="preserve"> </w:t>
      </w:r>
      <w:r w:rsidR="00190604">
        <w:rPr>
          <w:rFonts w:ascii="Times New Roman" w:hAnsi="Times New Roman" w:cs="Times New Roman"/>
          <w:b/>
          <w:bCs/>
          <w:i/>
          <w:iCs/>
          <w:color w:val="000000"/>
          <w:sz w:val="26"/>
          <w:szCs w:val="26"/>
        </w:rPr>
        <w:t>Northern</w:t>
      </w:r>
      <w:r>
        <w:rPr>
          <w:rFonts w:ascii="Times New Roman" w:hAnsi="Times New Roman" w:cs="Times New Roman"/>
          <w:b/>
          <w:bCs/>
          <w:i/>
          <w:iCs/>
          <w:color w:val="000000"/>
          <w:sz w:val="26"/>
          <w:szCs w:val="26"/>
        </w:rPr>
        <w:t xml:space="preserve"> are Inapplicable</w:t>
      </w:r>
    </w:p>
    <w:p w14:paraId="4E89FA18" w14:textId="021B67DF" w:rsidR="006F0DEA" w:rsidRDefault="007B3EEC">
      <w:pPr>
        <w:widowControl w:val="0"/>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Based on the above, the cases relied on by </w:t>
      </w:r>
      <w:r w:rsidR="00190604">
        <w:rPr>
          <w:rFonts w:ascii="Times New Roman" w:hAnsi="Times New Roman" w:cs="Times New Roman"/>
          <w:color w:val="000000"/>
          <w:sz w:val="26"/>
          <w:szCs w:val="26"/>
        </w:rPr>
        <w:t>Northern</w:t>
      </w:r>
      <w:r>
        <w:rPr>
          <w:rFonts w:ascii="Times New Roman" w:hAnsi="Times New Roman" w:cs="Times New Roman"/>
          <w:color w:val="000000"/>
          <w:sz w:val="26"/>
          <w:szCs w:val="26"/>
        </w:rPr>
        <w:t xml:space="preserve"> discussing “concurrent cause” are inapplicable. </w:t>
      </w:r>
      <w:r>
        <w:rPr>
          <w:rFonts w:ascii="Times New Roman" w:hAnsi="Times New Roman" w:cs="Times New Roman"/>
          <w:i/>
          <w:iCs/>
          <w:color w:val="000000"/>
          <w:sz w:val="26"/>
          <w:szCs w:val="26"/>
        </w:rPr>
        <w:t xml:space="preserve">See </w:t>
      </w:r>
      <w:r w:rsidR="00190604">
        <w:rPr>
          <w:rFonts w:ascii="Times New Roman" w:hAnsi="Times New Roman" w:cs="Times New Roman"/>
          <w:i/>
          <w:iCs/>
          <w:color w:val="000000"/>
          <w:sz w:val="26"/>
          <w:szCs w:val="26"/>
        </w:rPr>
        <w:t>Northern</w:t>
      </w:r>
      <w:r>
        <w:rPr>
          <w:rFonts w:ascii="Times New Roman" w:hAnsi="Times New Roman" w:cs="Times New Roman"/>
          <w:i/>
          <w:iCs/>
          <w:color w:val="000000"/>
          <w:sz w:val="26"/>
          <w:szCs w:val="26"/>
        </w:rPr>
        <w:t xml:space="preserve"> Brief at 8-9.</w:t>
      </w:r>
      <w:r>
        <w:rPr>
          <w:rFonts w:ascii="Times New Roman" w:hAnsi="Times New Roman" w:cs="Times New Roman"/>
          <w:color w:val="000000"/>
          <w:sz w:val="26"/>
          <w:szCs w:val="26"/>
        </w:rPr>
        <w:t xml:space="preserve"> For example, in the case of </w:t>
      </w:r>
      <w:hyperlink r:id="rId28" w:history="1">
        <w:r>
          <w:rPr>
            <w:rFonts w:ascii="Times New Roman" w:hAnsi="Times New Roman" w:cs="Times New Roman"/>
            <w:i/>
            <w:iCs/>
            <w:color w:val="0000FF"/>
            <w:sz w:val="26"/>
            <w:szCs w:val="26"/>
            <w:u w:val="single"/>
          </w:rPr>
          <w:t>Brindley v Fireman’s Ins. Co. of Newark</w:t>
        </w:r>
        <w:r>
          <w:rPr>
            <w:rFonts w:ascii="Times New Roman" w:hAnsi="Times New Roman" w:cs="Times New Roman"/>
            <w:color w:val="0000FF"/>
            <w:sz w:val="26"/>
            <w:szCs w:val="26"/>
            <w:u w:val="single"/>
          </w:rPr>
          <w:t>, 35 N.J. Super 1 (App. Div. 1955)</w:t>
        </w:r>
      </w:hyperlink>
      <w:r>
        <w:rPr>
          <w:rFonts w:ascii="Times New Roman" w:hAnsi="Times New Roman" w:cs="Times New Roman"/>
          <w:color w:val="000000"/>
          <w:sz w:val="26"/>
          <w:szCs w:val="26"/>
        </w:rPr>
        <w:t xml:space="preserve">, the court did not allow coverage because the losses caused by covered versus excluded causes could not be separated. While </w:t>
      </w:r>
      <w:r w:rsidR="00190604">
        <w:rPr>
          <w:rFonts w:ascii="Times New Roman" w:hAnsi="Times New Roman" w:cs="Times New Roman"/>
          <w:color w:val="000000"/>
          <w:sz w:val="26"/>
          <w:szCs w:val="26"/>
        </w:rPr>
        <w:t>Northern</w:t>
      </w:r>
      <w:r>
        <w:rPr>
          <w:rFonts w:ascii="Times New Roman" w:hAnsi="Times New Roman" w:cs="Times New Roman"/>
          <w:color w:val="000000"/>
          <w:sz w:val="26"/>
          <w:szCs w:val="26"/>
        </w:rPr>
        <w:t xml:space="preserve"> properly cited the court’s holding that “loss due to the effect of causes both within and outside the coverage, operating conjointly, is generally considered not recoverable under this kind of provision,” </w:t>
      </w:r>
      <w:r w:rsidR="00190604">
        <w:rPr>
          <w:rFonts w:ascii="Times New Roman" w:hAnsi="Times New Roman" w:cs="Times New Roman"/>
          <w:color w:val="000000"/>
          <w:sz w:val="26"/>
          <w:szCs w:val="26"/>
        </w:rPr>
        <w:t>Northern</w:t>
      </w:r>
      <w:r>
        <w:rPr>
          <w:rFonts w:ascii="Times New Roman" w:hAnsi="Times New Roman" w:cs="Times New Roman"/>
          <w:color w:val="000000"/>
          <w:sz w:val="26"/>
          <w:szCs w:val="26"/>
        </w:rPr>
        <w:t xml:space="preserve"> carelessly failed to identify the policy language at issue -- the court interpreted the application of a </w:t>
      </w:r>
      <w:r>
        <w:rPr>
          <w:rFonts w:ascii="Times New Roman" w:hAnsi="Times New Roman" w:cs="Times New Roman"/>
          <w:i/>
          <w:iCs/>
          <w:color w:val="000000"/>
          <w:sz w:val="26"/>
          <w:szCs w:val="26"/>
        </w:rPr>
        <w:t>homeowner’s policy</w:t>
      </w:r>
      <w:r>
        <w:rPr>
          <w:rFonts w:ascii="Times New Roman" w:hAnsi="Times New Roman" w:cs="Times New Roman"/>
          <w:color w:val="000000"/>
          <w:sz w:val="26"/>
          <w:szCs w:val="26"/>
        </w:rPr>
        <w:t xml:space="preserve"> which covered losses caused by windstorm “but excluded losses caused </w:t>
      </w:r>
      <w:r>
        <w:rPr>
          <w:rFonts w:ascii="Times New Roman" w:hAnsi="Times New Roman" w:cs="Times New Roman"/>
          <w:i/>
          <w:iCs/>
          <w:color w:val="000000"/>
          <w:sz w:val="26"/>
          <w:szCs w:val="26"/>
        </w:rPr>
        <w:t>directly or indirectly</w:t>
      </w:r>
      <w:r>
        <w:rPr>
          <w:rFonts w:ascii="Times New Roman" w:hAnsi="Times New Roman" w:cs="Times New Roman"/>
          <w:color w:val="000000"/>
          <w:sz w:val="26"/>
          <w:szCs w:val="26"/>
        </w:rPr>
        <w:t xml:space="preserve"> by waves or high water.” It was the anti-concurrent language in that policy that allowed the insurer to deny the claim. There is nothing in </w:t>
      </w:r>
      <w:r>
        <w:rPr>
          <w:rFonts w:ascii="Times New Roman" w:hAnsi="Times New Roman" w:cs="Times New Roman"/>
          <w:i/>
          <w:iCs/>
          <w:color w:val="000000"/>
          <w:sz w:val="26"/>
          <w:szCs w:val="26"/>
        </w:rPr>
        <w:t>Brindley</w:t>
      </w:r>
      <w:r>
        <w:rPr>
          <w:rFonts w:ascii="Times New Roman" w:hAnsi="Times New Roman" w:cs="Times New Roman"/>
          <w:color w:val="000000"/>
          <w:sz w:val="26"/>
          <w:szCs w:val="26"/>
        </w:rPr>
        <w:t xml:space="preserve"> and other cases cited by </w:t>
      </w:r>
      <w:r w:rsidR="00190604">
        <w:rPr>
          <w:rFonts w:ascii="Times New Roman" w:hAnsi="Times New Roman" w:cs="Times New Roman"/>
          <w:color w:val="000000"/>
          <w:sz w:val="26"/>
          <w:szCs w:val="26"/>
        </w:rPr>
        <w:t>Northern</w:t>
      </w:r>
      <w:r>
        <w:rPr>
          <w:rFonts w:ascii="Times New Roman" w:hAnsi="Times New Roman" w:cs="Times New Roman"/>
          <w:color w:val="000000"/>
          <w:sz w:val="26"/>
          <w:szCs w:val="26"/>
        </w:rPr>
        <w:t xml:space="preserve"> that is even remotely </w:t>
      </w:r>
      <w:proofErr w:type="gramStart"/>
      <w:r>
        <w:rPr>
          <w:rFonts w:ascii="Times New Roman" w:hAnsi="Times New Roman" w:cs="Times New Roman"/>
          <w:color w:val="000000"/>
          <w:sz w:val="26"/>
          <w:szCs w:val="26"/>
        </w:rPr>
        <w:t>similar to</w:t>
      </w:r>
      <w:proofErr w:type="gramEnd"/>
      <w:r>
        <w:rPr>
          <w:rFonts w:ascii="Times New Roman" w:hAnsi="Times New Roman" w:cs="Times New Roman"/>
          <w:color w:val="000000"/>
          <w:sz w:val="26"/>
          <w:szCs w:val="26"/>
        </w:rPr>
        <w:t xml:space="preserve"> the language of the Warehouse Endorsement here. Analysis of </w:t>
      </w:r>
      <w:r>
        <w:rPr>
          <w:rFonts w:ascii="Times New Roman" w:hAnsi="Times New Roman" w:cs="Times New Roman"/>
          <w:i/>
          <w:iCs/>
          <w:color w:val="000000"/>
          <w:sz w:val="26"/>
          <w:szCs w:val="26"/>
        </w:rPr>
        <w:t>Brindley</w:t>
      </w:r>
      <w:r>
        <w:rPr>
          <w:rFonts w:ascii="Times New Roman" w:hAnsi="Times New Roman" w:cs="Times New Roman"/>
          <w:color w:val="000000"/>
          <w:sz w:val="26"/>
          <w:szCs w:val="26"/>
        </w:rPr>
        <w:t xml:space="preserve"> and similar cases is just not relevant.</w:t>
      </w:r>
    </w:p>
    <w:p w14:paraId="1E4C459C" w14:textId="77777777" w:rsidR="006F0DEA" w:rsidRDefault="007B3EEC">
      <w:pPr>
        <w:widowControl w:val="0"/>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w:t>
      </w:r>
    </w:p>
    <w:p w14:paraId="6F1731CF" w14:textId="77777777" w:rsidR="006F0DEA" w:rsidRDefault="007B3EEC">
      <w:pPr>
        <w:widowControl w:val="0"/>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lastRenderedPageBreak/>
        <w:t xml:space="preserve">What New Jersey law holds is that “when an insurance policy uses an exclusion which bars coverage for losses caused by a particular peril, the exclusion applies only if the excluded peril was the ‘efficient proximate cause’ of the loss.” </w:t>
      </w:r>
      <w:hyperlink r:id="rId29" w:anchor="co_pp_sp_4637_70" w:history="1">
        <w:r>
          <w:rPr>
            <w:rFonts w:ascii="Times New Roman" w:hAnsi="Times New Roman" w:cs="Times New Roman"/>
            <w:i/>
            <w:iCs/>
            <w:color w:val="0000FF"/>
            <w:sz w:val="26"/>
            <w:szCs w:val="26"/>
            <w:u w:val="single"/>
          </w:rPr>
          <w:t>Zurich Am. Ins. Co. v. Keating Bldg. Corp.</w:t>
        </w:r>
        <w:r>
          <w:rPr>
            <w:rFonts w:ascii="Times New Roman" w:hAnsi="Times New Roman" w:cs="Times New Roman"/>
            <w:color w:val="0000FF"/>
            <w:sz w:val="26"/>
            <w:szCs w:val="26"/>
            <w:u w:val="single"/>
          </w:rPr>
          <w:t xml:space="preserve">, 513 </w:t>
        </w:r>
        <w:proofErr w:type="spellStart"/>
        <w:r>
          <w:rPr>
            <w:rFonts w:ascii="Times New Roman" w:hAnsi="Times New Roman" w:cs="Times New Roman"/>
            <w:color w:val="0000FF"/>
            <w:sz w:val="26"/>
            <w:szCs w:val="26"/>
            <w:u w:val="single"/>
          </w:rPr>
          <w:t>F.Supp</w:t>
        </w:r>
        <w:proofErr w:type="spellEnd"/>
        <w:r>
          <w:rPr>
            <w:rFonts w:ascii="Times New Roman" w:hAnsi="Times New Roman" w:cs="Times New Roman"/>
            <w:color w:val="0000FF"/>
            <w:sz w:val="26"/>
            <w:szCs w:val="26"/>
            <w:u w:val="single"/>
          </w:rPr>
          <w:t>. 2d 55, 70 (D.N.J. 2007)</w:t>
        </w:r>
      </w:hyperlink>
      <w:r>
        <w:rPr>
          <w:rFonts w:ascii="Times New Roman" w:hAnsi="Times New Roman" w:cs="Times New Roman"/>
          <w:color w:val="000000"/>
          <w:sz w:val="26"/>
          <w:szCs w:val="26"/>
        </w:rPr>
        <w:t xml:space="preserve"> (quoting </w:t>
      </w:r>
      <w:hyperlink r:id="rId30" w:anchor="co_pp_sp_583_257" w:history="1">
        <w:r>
          <w:rPr>
            <w:rFonts w:ascii="Times New Roman" w:hAnsi="Times New Roman" w:cs="Times New Roman"/>
            <w:i/>
            <w:iCs/>
            <w:color w:val="0000FF"/>
            <w:sz w:val="26"/>
            <w:szCs w:val="26"/>
            <w:u w:val="single"/>
          </w:rPr>
          <w:t xml:space="preserve">Auto Lenders Acceptance Corp. v. </w:t>
        </w:r>
        <w:proofErr w:type="spellStart"/>
        <w:r>
          <w:rPr>
            <w:rFonts w:ascii="Times New Roman" w:hAnsi="Times New Roman" w:cs="Times New Roman"/>
            <w:i/>
            <w:iCs/>
            <w:color w:val="0000FF"/>
            <w:sz w:val="26"/>
            <w:szCs w:val="26"/>
            <w:u w:val="single"/>
          </w:rPr>
          <w:t>Gentilini</w:t>
        </w:r>
        <w:proofErr w:type="spellEnd"/>
        <w:r>
          <w:rPr>
            <w:rFonts w:ascii="Times New Roman" w:hAnsi="Times New Roman" w:cs="Times New Roman"/>
            <w:i/>
            <w:iCs/>
            <w:color w:val="0000FF"/>
            <w:sz w:val="26"/>
            <w:szCs w:val="26"/>
            <w:u w:val="single"/>
          </w:rPr>
          <w:t xml:space="preserve"> Ford, Inc.</w:t>
        </w:r>
        <w:r>
          <w:rPr>
            <w:rFonts w:ascii="Times New Roman" w:hAnsi="Times New Roman" w:cs="Times New Roman"/>
            <w:color w:val="0000FF"/>
            <w:sz w:val="26"/>
            <w:szCs w:val="26"/>
            <w:u w:val="single"/>
          </w:rPr>
          <w:t>, 181 N.J. 245, 257 (2004)</w:t>
        </w:r>
      </w:hyperlink>
      <w:r>
        <w:rPr>
          <w:rFonts w:ascii="Times New Roman" w:hAnsi="Times New Roman" w:cs="Times New Roman"/>
          <w:color w:val="000000"/>
          <w:sz w:val="26"/>
          <w:szCs w:val="26"/>
        </w:rPr>
        <w:t xml:space="preserve">). Thus, an insured is normally afforded coverage where an “included cause of loss is either the first or last step in the chain of causation which leads to the loss.” </w:t>
      </w:r>
      <w:hyperlink r:id="rId31" w:anchor="co_pp_sp_4637_353" w:history="1">
        <w:r>
          <w:rPr>
            <w:rFonts w:ascii="Times New Roman" w:hAnsi="Times New Roman" w:cs="Times New Roman"/>
            <w:i/>
            <w:iCs/>
            <w:color w:val="0000FF"/>
            <w:sz w:val="26"/>
            <w:szCs w:val="26"/>
            <w:u w:val="single"/>
          </w:rPr>
          <w:t>Assurance Co. of Am., Inc. v. Jay–Mar, Inc.</w:t>
        </w:r>
        <w:r>
          <w:rPr>
            <w:rFonts w:ascii="Times New Roman" w:hAnsi="Times New Roman" w:cs="Times New Roman"/>
            <w:color w:val="0000FF"/>
            <w:sz w:val="26"/>
            <w:szCs w:val="26"/>
            <w:u w:val="single"/>
          </w:rPr>
          <w:t>, 38 F. Supp. 2d 349, 353 (D. N.J. 1999)</w:t>
        </w:r>
      </w:hyperlink>
      <w:r>
        <w:rPr>
          <w:rFonts w:ascii="Times New Roman" w:hAnsi="Times New Roman" w:cs="Times New Roman"/>
          <w:color w:val="000000"/>
          <w:sz w:val="26"/>
          <w:szCs w:val="26"/>
        </w:rPr>
        <w:t xml:space="preserve"> (citing </w:t>
      </w:r>
      <w:hyperlink r:id="rId32" w:anchor="co_pp_sp_590_191" w:history="1">
        <w:r>
          <w:rPr>
            <w:rFonts w:ascii="Times New Roman" w:hAnsi="Times New Roman" w:cs="Times New Roman"/>
            <w:i/>
            <w:iCs/>
            <w:color w:val="0000FF"/>
            <w:sz w:val="26"/>
            <w:szCs w:val="26"/>
            <w:u w:val="single"/>
          </w:rPr>
          <w:t>Franklin Packaging Co. v. Cal. Union Ins. Co.</w:t>
        </w:r>
        <w:r>
          <w:rPr>
            <w:rFonts w:ascii="Times New Roman" w:hAnsi="Times New Roman" w:cs="Times New Roman"/>
            <w:color w:val="0000FF"/>
            <w:sz w:val="26"/>
            <w:szCs w:val="26"/>
            <w:u w:val="single"/>
          </w:rPr>
          <w:t xml:space="preserve">, 171 </w:t>
        </w:r>
        <w:proofErr w:type="spellStart"/>
        <w:r>
          <w:rPr>
            <w:rFonts w:ascii="Times New Roman" w:hAnsi="Times New Roman" w:cs="Times New Roman"/>
            <w:color w:val="0000FF"/>
            <w:sz w:val="26"/>
            <w:szCs w:val="26"/>
            <w:u w:val="single"/>
          </w:rPr>
          <w:t>N.J.Super</w:t>
        </w:r>
        <w:proofErr w:type="spellEnd"/>
        <w:r>
          <w:rPr>
            <w:rFonts w:ascii="Times New Roman" w:hAnsi="Times New Roman" w:cs="Times New Roman"/>
            <w:color w:val="0000FF"/>
            <w:sz w:val="26"/>
            <w:szCs w:val="26"/>
            <w:u w:val="single"/>
          </w:rPr>
          <w:t>. 188, 191 (App. Div.1979)</w:t>
        </w:r>
      </w:hyperlink>
      <w:r>
        <w:rPr>
          <w:rFonts w:ascii="Times New Roman" w:hAnsi="Times New Roman" w:cs="Times New Roman"/>
          <w:color w:val="000000"/>
          <w:sz w:val="26"/>
          <w:szCs w:val="26"/>
        </w:rPr>
        <w:t xml:space="preserve"> (where vandals broke into insured’s warehouse and caused flood, resulting in damage to inventory, court held that vandalism, a covered cause of loss, was proximate cause even though water damage was excluded under the policy), </w:t>
      </w:r>
      <w:r>
        <w:rPr>
          <w:rFonts w:ascii="Times New Roman" w:hAnsi="Times New Roman" w:cs="Times New Roman"/>
          <w:i/>
          <w:iCs/>
          <w:color w:val="000000"/>
          <w:sz w:val="26"/>
          <w:szCs w:val="26"/>
        </w:rPr>
        <w:t>cert. denied</w:t>
      </w:r>
      <w:r>
        <w:rPr>
          <w:rFonts w:ascii="Times New Roman" w:hAnsi="Times New Roman" w:cs="Times New Roman"/>
          <w:color w:val="000000"/>
          <w:sz w:val="26"/>
          <w:szCs w:val="26"/>
        </w:rPr>
        <w:t xml:space="preserve"> </w:t>
      </w:r>
      <w:hyperlink r:id="rId33" w:history="1">
        <w:r>
          <w:rPr>
            <w:rFonts w:ascii="Times New Roman" w:hAnsi="Times New Roman" w:cs="Times New Roman"/>
            <w:color w:val="0000FF"/>
            <w:sz w:val="26"/>
            <w:szCs w:val="26"/>
            <w:u w:val="single"/>
          </w:rPr>
          <w:t>84 N.J. 434 (1980)</w:t>
        </w:r>
      </w:hyperlink>
      <w:r>
        <w:rPr>
          <w:rFonts w:ascii="Times New Roman" w:hAnsi="Times New Roman" w:cs="Times New Roman"/>
          <w:color w:val="000000"/>
          <w:sz w:val="26"/>
          <w:szCs w:val="26"/>
        </w:rPr>
        <w:t xml:space="preserve">); </w:t>
      </w:r>
      <w:hyperlink r:id="rId34" w:anchor="co_pp_sp_590_251" w:history="1">
        <w:r>
          <w:rPr>
            <w:rFonts w:ascii="Times New Roman" w:hAnsi="Times New Roman" w:cs="Times New Roman"/>
            <w:i/>
            <w:iCs/>
            <w:color w:val="0000FF"/>
            <w:sz w:val="26"/>
            <w:szCs w:val="26"/>
            <w:u w:val="single"/>
          </w:rPr>
          <w:t>Stone v. Royal Ins. Co.</w:t>
        </w:r>
        <w:r>
          <w:rPr>
            <w:rFonts w:ascii="Times New Roman" w:hAnsi="Times New Roman" w:cs="Times New Roman"/>
            <w:color w:val="0000FF"/>
            <w:sz w:val="26"/>
            <w:szCs w:val="26"/>
            <w:u w:val="single"/>
          </w:rPr>
          <w:t xml:space="preserve">, 211 </w:t>
        </w:r>
        <w:proofErr w:type="spellStart"/>
        <w:r>
          <w:rPr>
            <w:rFonts w:ascii="Times New Roman" w:hAnsi="Times New Roman" w:cs="Times New Roman"/>
            <w:color w:val="0000FF"/>
            <w:sz w:val="26"/>
            <w:szCs w:val="26"/>
            <w:u w:val="single"/>
          </w:rPr>
          <w:t>N.J.Super</w:t>
        </w:r>
        <w:proofErr w:type="spellEnd"/>
        <w:r>
          <w:rPr>
            <w:rFonts w:ascii="Times New Roman" w:hAnsi="Times New Roman" w:cs="Times New Roman"/>
            <w:color w:val="0000FF"/>
            <w:sz w:val="26"/>
            <w:szCs w:val="26"/>
            <w:u w:val="single"/>
          </w:rPr>
          <w:t>. 246, 251 (App.Div.1986)</w:t>
        </w:r>
      </w:hyperlink>
      <w:r>
        <w:rPr>
          <w:rFonts w:ascii="Times New Roman" w:hAnsi="Times New Roman" w:cs="Times New Roman"/>
          <w:color w:val="000000"/>
          <w:sz w:val="26"/>
          <w:szCs w:val="26"/>
        </w:rPr>
        <w:t xml:space="preserve"> (where sump pump hose broke and flooded insured’s basement, court held broken household appliance, a covered cause of loss, was proximate cause even though losses caused by subsurface water were excluded under the policy).</w:t>
      </w:r>
    </w:p>
    <w:p w14:paraId="67DEBE9E" w14:textId="77777777" w:rsidR="006F0DEA" w:rsidRDefault="007B3EEC">
      <w:pPr>
        <w:widowControl w:val="0"/>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w:t>
      </w:r>
    </w:p>
    <w:p w14:paraId="6743AD4E" w14:textId="620D7E16" w:rsidR="006F0DEA" w:rsidRDefault="007B3EEC">
      <w:pPr>
        <w:widowControl w:val="0"/>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Despite </w:t>
      </w:r>
      <w:proofErr w:type="spellStart"/>
      <w:r w:rsidR="00190604">
        <w:rPr>
          <w:rFonts w:ascii="Times New Roman" w:hAnsi="Times New Roman" w:cs="Times New Roman"/>
          <w:color w:val="000000"/>
          <w:sz w:val="26"/>
          <w:szCs w:val="26"/>
        </w:rPr>
        <w:t>Northern’s</w:t>
      </w:r>
      <w:proofErr w:type="spellEnd"/>
      <w:r>
        <w:rPr>
          <w:rFonts w:ascii="Times New Roman" w:hAnsi="Times New Roman" w:cs="Times New Roman"/>
          <w:color w:val="000000"/>
          <w:sz w:val="26"/>
          <w:szCs w:val="26"/>
        </w:rPr>
        <w:t xml:space="preserve"> focus on these cases, we do not reach this issue because the flood exclusion is ambiguous at best. Regardless, they simply do not apply.</w:t>
      </w:r>
    </w:p>
    <w:p w14:paraId="2A5C777B" w14:textId="77777777" w:rsidR="006F0DEA" w:rsidRDefault="007B3EEC">
      <w:pPr>
        <w:widowControl w:val="0"/>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w:t>
      </w:r>
    </w:p>
    <w:p w14:paraId="386083F9" w14:textId="77777777" w:rsidR="006F0DEA" w:rsidRDefault="007B3EEC">
      <w:pPr>
        <w:widowControl w:val="0"/>
        <w:autoSpaceDE w:val="0"/>
        <w:autoSpaceDN w:val="0"/>
        <w:adjustRightInd w:val="0"/>
        <w:spacing w:before="520" w:after="260" w:line="240" w:lineRule="auto"/>
        <w:jc w:val="center"/>
        <w:rPr>
          <w:rFonts w:ascii="Times New Roman" w:hAnsi="Times New Roman" w:cs="Times New Roman"/>
          <w:b/>
          <w:bCs/>
          <w:i/>
          <w:iCs/>
          <w:color w:val="000000"/>
          <w:sz w:val="26"/>
          <w:szCs w:val="26"/>
        </w:rPr>
      </w:pPr>
      <w:r>
        <w:rPr>
          <w:rFonts w:ascii="Times New Roman" w:hAnsi="Times New Roman" w:cs="Times New Roman"/>
          <w:b/>
          <w:bCs/>
          <w:i/>
          <w:iCs/>
          <w:color w:val="000000"/>
          <w:sz w:val="26"/>
          <w:szCs w:val="26"/>
        </w:rPr>
        <w:t>V. Katrina Cases Are Inapplicable</w:t>
      </w:r>
    </w:p>
    <w:p w14:paraId="69B3BC93" w14:textId="335E4E0D" w:rsidR="006F0DEA" w:rsidRDefault="007B3EEC">
      <w:pPr>
        <w:widowControl w:val="0"/>
        <w:autoSpaceDE w:val="0"/>
        <w:autoSpaceDN w:val="0"/>
        <w:adjustRightInd w:val="0"/>
        <w:spacing w:after="0" w:line="240" w:lineRule="auto"/>
        <w:jc w:val="both"/>
        <w:rPr>
          <w:rFonts w:ascii="Times New Roman" w:hAnsi="Times New Roman" w:cs="Times New Roman"/>
          <w:i/>
          <w:iCs/>
          <w:color w:val="000000"/>
          <w:sz w:val="26"/>
          <w:szCs w:val="26"/>
        </w:rPr>
      </w:pPr>
      <w:r>
        <w:rPr>
          <w:rFonts w:ascii="Times New Roman" w:hAnsi="Times New Roman" w:cs="Times New Roman"/>
          <w:color w:val="000000"/>
          <w:sz w:val="26"/>
          <w:szCs w:val="26"/>
        </w:rPr>
        <w:t xml:space="preserve">Finally, </w:t>
      </w:r>
      <w:r w:rsidR="00190604">
        <w:rPr>
          <w:rFonts w:ascii="Times New Roman" w:hAnsi="Times New Roman" w:cs="Times New Roman"/>
          <w:color w:val="000000"/>
          <w:sz w:val="26"/>
          <w:szCs w:val="26"/>
        </w:rPr>
        <w:t>Northern</w:t>
      </w:r>
      <w:r>
        <w:rPr>
          <w:rFonts w:ascii="Times New Roman" w:hAnsi="Times New Roman" w:cs="Times New Roman"/>
          <w:color w:val="000000"/>
          <w:sz w:val="26"/>
          <w:szCs w:val="26"/>
        </w:rPr>
        <w:t xml:space="preserve"> cites to several “Katrina” cases in support of its position that the flood exclusion applies to a portion of the losses that </w:t>
      </w:r>
      <w:r w:rsidR="00190604">
        <w:rPr>
          <w:rFonts w:ascii="Times New Roman" w:hAnsi="Times New Roman" w:cs="Times New Roman"/>
          <w:color w:val="000000"/>
          <w:sz w:val="26"/>
          <w:szCs w:val="26"/>
        </w:rPr>
        <w:t>Northern</w:t>
      </w:r>
      <w:r>
        <w:rPr>
          <w:rFonts w:ascii="Times New Roman" w:hAnsi="Times New Roman" w:cs="Times New Roman"/>
          <w:color w:val="000000"/>
          <w:sz w:val="26"/>
          <w:szCs w:val="26"/>
        </w:rPr>
        <w:t xml:space="preserve"> allocated as “caused by flood,” because “a flood is a flood.” These cases are also inapplicable. In each of those cases, the relevant policy at issue was a homeowner’s policy. And every single policy at issue included an applicable exclusion which contained properly drafted anti-concurrent language to trigger application of those exclusions. For example, in </w:t>
      </w:r>
      <w:hyperlink r:id="rId35" w:anchor="co_pp_sp_506_437" w:history="1">
        <w:r>
          <w:rPr>
            <w:rFonts w:ascii="Times New Roman" w:hAnsi="Times New Roman" w:cs="Times New Roman"/>
            <w:i/>
            <w:iCs/>
            <w:color w:val="0000FF"/>
            <w:sz w:val="26"/>
            <w:szCs w:val="26"/>
            <w:u w:val="single"/>
          </w:rPr>
          <w:t>Leonard v. Nationwide Mut. Ins. Co.</w:t>
        </w:r>
        <w:r>
          <w:rPr>
            <w:rFonts w:ascii="Times New Roman" w:hAnsi="Times New Roman" w:cs="Times New Roman"/>
            <w:color w:val="0000FF"/>
            <w:sz w:val="26"/>
            <w:szCs w:val="26"/>
            <w:u w:val="single"/>
          </w:rPr>
          <w:t>, 499 F.3d 419, 437 (5</w:t>
        </w:r>
        <w:r>
          <w:rPr>
            <w:rFonts w:ascii="Times New Roman" w:hAnsi="Times New Roman" w:cs="Times New Roman"/>
            <w:color w:val="0000FF"/>
            <w:sz w:val="20"/>
            <w:szCs w:val="20"/>
            <w:u w:val="single"/>
            <w:vertAlign w:val="superscript"/>
          </w:rPr>
          <w:t>th</w:t>
        </w:r>
        <w:r>
          <w:rPr>
            <w:rFonts w:ascii="Times New Roman" w:hAnsi="Times New Roman" w:cs="Times New Roman"/>
            <w:color w:val="0000FF"/>
            <w:sz w:val="26"/>
            <w:szCs w:val="26"/>
            <w:u w:val="single"/>
          </w:rPr>
          <w:t xml:space="preserve"> Cir. 2007)</w:t>
        </w:r>
      </w:hyperlink>
      <w:r>
        <w:rPr>
          <w:rFonts w:ascii="Times New Roman" w:hAnsi="Times New Roman" w:cs="Times New Roman"/>
          <w:color w:val="000000"/>
          <w:sz w:val="26"/>
          <w:szCs w:val="26"/>
        </w:rPr>
        <w:t xml:space="preserve">, the homeowner’s policy contained an exclusion for “flood” defined as an overflow of a body of water, </w:t>
      </w:r>
      <w:r>
        <w:rPr>
          <w:rFonts w:ascii="Times New Roman" w:hAnsi="Times New Roman" w:cs="Times New Roman"/>
          <w:i/>
          <w:iCs/>
          <w:color w:val="000000"/>
          <w:sz w:val="26"/>
          <w:szCs w:val="26"/>
        </w:rPr>
        <w:t>whether or not driven by wind.</w:t>
      </w:r>
      <w:r>
        <w:rPr>
          <w:rFonts w:ascii="Times New Roman" w:hAnsi="Times New Roman" w:cs="Times New Roman"/>
          <w:color w:val="000000"/>
          <w:sz w:val="26"/>
          <w:szCs w:val="26"/>
        </w:rPr>
        <w:t xml:space="preserve">” </w:t>
      </w:r>
      <w:r>
        <w:rPr>
          <w:rFonts w:ascii="Times New Roman" w:hAnsi="Times New Roman" w:cs="Times New Roman"/>
          <w:i/>
          <w:iCs/>
          <w:color w:val="000000"/>
          <w:sz w:val="26"/>
          <w:szCs w:val="26"/>
        </w:rPr>
        <w:t>See also, Corban v. USAA</w:t>
      </w:r>
      <w:r>
        <w:rPr>
          <w:rFonts w:ascii="Times New Roman" w:hAnsi="Times New Roman" w:cs="Times New Roman"/>
          <w:color w:val="000000"/>
          <w:sz w:val="26"/>
          <w:szCs w:val="26"/>
        </w:rPr>
        <w:t xml:space="preserve">, </w:t>
      </w:r>
      <w:hyperlink r:id="rId36" w:history="1">
        <w:r>
          <w:rPr>
            <w:rFonts w:ascii="Times New Roman" w:hAnsi="Times New Roman" w:cs="Times New Roman"/>
            <w:color w:val="0000FF"/>
            <w:sz w:val="26"/>
            <w:szCs w:val="26"/>
            <w:u w:val="single"/>
          </w:rPr>
          <w:t>20 S.W.3d 601 (Miss. 2009)</w:t>
        </w:r>
      </w:hyperlink>
      <w:r>
        <w:rPr>
          <w:rFonts w:ascii="Times New Roman" w:hAnsi="Times New Roman" w:cs="Times New Roman"/>
          <w:color w:val="000000"/>
          <w:sz w:val="26"/>
          <w:szCs w:val="26"/>
        </w:rPr>
        <w:t xml:space="preserve"> (“storm surge” encountered during Hurricane Katrina was plainly encompassed within the “flood” or “overflow of a body of water” portions of the “water damage” exclusion which excluded damage for flood, surface water, waves, tidal water, </w:t>
      </w:r>
      <w:r>
        <w:rPr>
          <w:rFonts w:ascii="Times New Roman" w:hAnsi="Times New Roman" w:cs="Times New Roman"/>
          <w:i/>
          <w:iCs/>
          <w:color w:val="000000"/>
          <w:sz w:val="26"/>
          <w:szCs w:val="26"/>
        </w:rPr>
        <w:t>whether driven by wind or not</w:t>
      </w:r>
      <w:r>
        <w:rPr>
          <w:rFonts w:ascii="Times New Roman" w:hAnsi="Times New Roman" w:cs="Times New Roman"/>
          <w:color w:val="000000"/>
          <w:sz w:val="26"/>
          <w:szCs w:val="26"/>
        </w:rPr>
        <w:t xml:space="preserve">). Other cases are in accord. </w:t>
      </w:r>
      <w:hyperlink r:id="rId37" w:anchor="co_pp_sp_4637_450" w:history="1">
        <w:proofErr w:type="spellStart"/>
        <w:r>
          <w:rPr>
            <w:rFonts w:ascii="Times New Roman" w:hAnsi="Times New Roman" w:cs="Times New Roman"/>
            <w:i/>
            <w:iCs/>
            <w:color w:val="0000FF"/>
            <w:sz w:val="26"/>
            <w:szCs w:val="26"/>
            <w:u w:val="single"/>
          </w:rPr>
          <w:t>Spansel</w:t>
        </w:r>
        <w:proofErr w:type="spellEnd"/>
        <w:r>
          <w:rPr>
            <w:rFonts w:ascii="Times New Roman" w:hAnsi="Times New Roman" w:cs="Times New Roman"/>
            <w:i/>
            <w:iCs/>
            <w:color w:val="0000FF"/>
            <w:sz w:val="26"/>
            <w:szCs w:val="26"/>
            <w:u w:val="single"/>
          </w:rPr>
          <w:t xml:space="preserve"> v. State Farm</w:t>
        </w:r>
        <w:r>
          <w:rPr>
            <w:rFonts w:ascii="Times New Roman" w:hAnsi="Times New Roman" w:cs="Times New Roman"/>
            <w:color w:val="0000FF"/>
            <w:sz w:val="26"/>
            <w:szCs w:val="26"/>
            <w:u w:val="single"/>
          </w:rPr>
          <w:t>, 683 F. Supp. 2d 444, 450 (S.D. Miss. 2010)</w:t>
        </w:r>
      </w:hyperlink>
      <w:r>
        <w:rPr>
          <w:rFonts w:ascii="Times New Roman" w:hAnsi="Times New Roman" w:cs="Times New Roman"/>
          <w:color w:val="000000"/>
          <w:sz w:val="26"/>
          <w:szCs w:val="26"/>
        </w:rPr>
        <w:t>(storm surge as a result of Katrina excluded under the water damage exclusion of the homeowners’ policy that excluded flood, tsunami, surface water, tidal water, “</w:t>
      </w:r>
      <w:r>
        <w:rPr>
          <w:rFonts w:ascii="Times New Roman" w:hAnsi="Times New Roman" w:cs="Times New Roman"/>
          <w:i/>
          <w:iCs/>
          <w:color w:val="000000"/>
          <w:sz w:val="26"/>
          <w:szCs w:val="26"/>
        </w:rPr>
        <w:t>whether or not driven by wind</w:t>
      </w:r>
      <w:r>
        <w:rPr>
          <w:rFonts w:ascii="Times New Roman" w:hAnsi="Times New Roman" w:cs="Times New Roman"/>
          <w:color w:val="000000"/>
          <w:sz w:val="26"/>
          <w:szCs w:val="26"/>
        </w:rPr>
        <w:t xml:space="preserve">”); </w:t>
      </w:r>
      <w:hyperlink r:id="rId38" w:anchor="co_pp_sp_506_353" w:history="1">
        <w:proofErr w:type="spellStart"/>
        <w:r>
          <w:rPr>
            <w:rFonts w:ascii="Times New Roman" w:hAnsi="Times New Roman" w:cs="Times New Roman"/>
            <w:i/>
            <w:iCs/>
            <w:color w:val="0000FF"/>
            <w:sz w:val="26"/>
            <w:szCs w:val="26"/>
            <w:u w:val="single"/>
          </w:rPr>
          <w:t>Tuepker</w:t>
        </w:r>
        <w:proofErr w:type="spellEnd"/>
        <w:r>
          <w:rPr>
            <w:rFonts w:ascii="Times New Roman" w:hAnsi="Times New Roman" w:cs="Times New Roman"/>
            <w:i/>
            <w:iCs/>
            <w:color w:val="0000FF"/>
            <w:sz w:val="26"/>
            <w:szCs w:val="26"/>
            <w:u w:val="single"/>
          </w:rPr>
          <w:t xml:space="preserve"> v. State Farm</w:t>
        </w:r>
        <w:r>
          <w:rPr>
            <w:rFonts w:ascii="Times New Roman" w:hAnsi="Times New Roman" w:cs="Times New Roman"/>
            <w:color w:val="0000FF"/>
            <w:sz w:val="26"/>
            <w:szCs w:val="26"/>
            <w:u w:val="single"/>
          </w:rPr>
          <w:t>, 507 F.3d 346, 353 (5</w:t>
        </w:r>
        <w:r>
          <w:rPr>
            <w:rFonts w:ascii="Times New Roman" w:hAnsi="Times New Roman" w:cs="Times New Roman"/>
            <w:color w:val="0000FF"/>
            <w:sz w:val="20"/>
            <w:szCs w:val="20"/>
            <w:u w:val="single"/>
            <w:vertAlign w:val="superscript"/>
          </w:rPr>
          <w:t>th</w:t>
        </w:r>
        <w:r>
          <w:rPr>
            <w:rFonts w:ascii="Times New Roman" w:hAnsi="Times New Roman" w:cs="Times New Roman"/>
            <w:color w:val="0000FF"/>
            <w:sz w:val="26"/>
            <w:szCs w:val="26"/>
            <w:u w:val="single"/>
          </w:rPr>
          <w:t xml:space="preserve"> Cir. 2007)</w:t>
        </w:r>
      </w:hyperlink>
      <w:r>
        <w:rPr>
          <w:rFonts w:ascii="Times New Roman" w:hAnsi="Times New Roman" w:cs="Times New Roman"/>
          <w:color w:val="000000"/>
          <w:sz w:val="26"/>
          <w:szCs w:val="26"/>
        </w:rPr>
        <w:t xml:space="preserve"> (storm surge was excluded under the policy that excluded “flood, surface water, waves, tidal water, tsunami, overflow of body of water, spray, </w:t>
      </w:r>
      <w:r>
        <w:rPr>
          <w:rFonts w:ascii="Times New Roman" w:hAnsi="Times New Roman" w:cs="Times New Roman"/>
          <w:i/>
          <w:iCs/>
          <w:color w:val="000000"/>
          <w:sz w:val="26"/>
          <w:szCs w:val="26"/>
        </w:rPr>
        <w:t>whether driven by wind or not”).</w:t>
      </w:r>
    </w:p>
    <w:p w14:paraId="2F563A6E" w14:textId="77777777" w:rsidR="006F0DEA" w:rsidRDefault="007B3EEC">
      <w:pPr>
        <w:widowControl w:val="0"/>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w:t>
      </w:r>
    </w:p>
    <w:p w14:paraId="1A0C5E70" w14:textId="77777777" w:rsidR="006F0DEA" w:rsidRDefault="007B3EEC">
      <w:pPr>
        <w:widowControl w:val="0"/>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None of the above cited cases are applicable here. </w:t>
      </w:r>
      <w:r>
        <w:rPr>
          <w:rFonts w:ascii="Times New Roman" w:hAnsi="Times New Roman" w:cs="Times New Roman"/>
          <w:i/>
          <w:iCs/>
          <w:color w:val="000000"/>
          <w:sz w:val="26"/>
          <w:szCs w:val="26"/>
        </w:rPr>
        <w:t xml:space="preserve">See </w:t>
      </w:r>
      <w:hyperlink r:id="rId39" w:anchor="co_pp_sp_506_784" w:history="1">
        <w:r>
          <w:rPr>
            <w:rFonts w:ascii="Times New Roman" w:hAnsi="Times New Roman" w:cs="Times New Roman"/>
            <w:i/>
            <w:iCs/>
            <w:color w:val="0000FF"/>
            <w:sz w:val="26"/>
            <w:szCs w:val="26"/>
            <w:u w:val="single"/>
          </w:rPr>
          <w:t>Northrup Grumman Corp. v. Factory Mutual Ins. Co.</w:t>
        </w:r>
        <w:r>
          <w:rPr>
            <w:rFonts w:ascii="Times New Roman" w:hAnsi="Times New Roman" w:cs="Times New Roman"/>
            <w:color w:val="0000FF"/>
            <w:sz w:val="26"/>
            <w:szCs w:val="26"/>
            <w:u w:val="single"/>
          </w:rPr>
          <w:t>, 563 F.3d 777, 784 (9</w:t>
        </w:r>
        <w:r>
          <w:rPr>
            <w:rFonts w:ascii="Times New Roman" w:hAnsi="Times New Roman" w:cs="Times New Roman"/>
            <w:color w:val="0000FF"/>
            <w:sz w:val="20"/>
            <w:szCs w:val="20"/>
            <w:u w:val="single"/>
            <w:vertAlign w:val="superscript"/>
          </w:rPr>
          <w:t>th</w:t>
        </w:r>
        <w:r>
          <w:rPr>
            <w:rFonts w:ascii="Times New Roman" w:hAnsi="Times New Roman" w:cs="Times New Roman"/>
            <w:color w:val="0000FF"/>
            <w:sz w:val="26"/>
            <w:szCs w:val="26"/>
            <w:u w:val="single"/>
          </w:rPr>
          <w:t xml:space="preserve"> Cir. 2009)</w:t>
        </w:r>
      </w:hyperlink>
      <w:r>
        <w:rPr>
          <w:rFonts w:ascii="Times New Roman" w:hAnsi="Times New Roman" w:cs="Times New Roman"/>
          <w:color w:val="000000"/>
          <w:sz w:val="26"/>
          <w:szCs w:val="26"/>
        </w:rPr>
        <w:t>. In that case, the Court held that the plain language of the flood exclusion unambiguously barred coverage for water damage sustained during Hurricane Katrina. There, the policy defined flood to be “all physical loss resulting from floodwaters, rising waters, waves, tides, or tidal wave, overflowing water, whether or not driven by wind.”</w:t>
      </w:r>
    </w:p>
    <w:p w14:paraId="678FA54F" w14:textId="77777777" w:rsidR="006F0DEA" w:rsidRDefault="007B3EEC">
      <w:pPr>
        <w:widowControl w:val="0"/>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lastRenderedPageBreak/>
        <w:t> </w:t>
      </w:r>
    </w:p>
    <w:p w14:paraId="0CC5B180" w14:textId="0AA8FBC5" w:rsidR="006F0DEA" w:rsidRDefault="007B3EEC">
      <w:pPr>
        <w:widowControl w:val="0"/>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The Open Marine Cargo Policy issued to </w:t>
      </w:r>
      <w:r w:rsidR="00190604">
        <w:rPr>
          <w:rFonts w:ascii="Times New Roman" w:hAnsi="Times New Roman" w:cs="Times New Roman"/>
          <w:color w:val="000000"/>
          <w:sz w:val="26"/>
          <w:szCs w:val="26"/>
        </w:rPr>
        <w:t>Roberts</w:t>
      </w:r>
      <w:r>
        <w:rPr>
          <w:rFonts w:ascii="Times New Roman" w:hAnsi="Times New Roman" w:cs="Times New Roman"/>
          <w:color w:val="000000"/>
          <w:sz w:val="26"/>
          <w:szCs w:val="26"/>
        </w:rPr>
        <w:t xml:space="preserve"> has no such language. It has no definition of flood. The flood exclusion by its terms only applies to losses caused by earth movement. If </w:t>
      </w:r>
      <w:r w:rsidR="00190604">
        <w:rPr>
          <w:rFonts w:ascii="Times New Roman" w:hAnsi="Times New Roman" w:cs="Times New Roman"/>
          <w:color w:val="000000"/>
          <w:sz w:val="26"/>
          <w:szCs w:val="26"/>
        </w:rPr>
        <w:t>Northern</w:t>
      </w:r>
      <w:r>
        <w:rPr>
          <w:rFonts w:ascii="Times New Roman" w:hAnsi="Times New Roman" w:cs="Times New Roman"/>
          <w:color w:val="000000"/>
          <w:sz w:val="26"/>
          <w:szCs w:val="26"/>
        </w:rPr>
        <w:t xml:space="preserve"> wished to avoid </w:t>
      </w:r>
      <w:proofErr w:type="gramStart"/>
      <w:r>
        <w:rPr>
          <w:rFonts w:ascii="Times New Roman" w:hAnsi="Times New Roman" w:cs="Times New Roman"/>
          <w:color w:val="000000"/>
          <w:sz w:val="26"/>
          <w:szCs w:val="26"/>
        </w:rPr>
        <w:t>all of</w:t>
      </w:r>
      <w:proofErr w:type="gramEnd"/>
      <w:r>
        <w:rPr>
          <w:rFonts w:ascii="Times New Roman" w:hAnsi="Times New Roman" w:cs="Times New Roman"/>
          <w:color w:val="000000"/>
          <w:sz w:val="26"/>
          <w:szCs w:val="26"/>
        </w:rPr>
        <w:t xml:space="preserve"> the ambiguities it has created, it could have drafted the Endorsement in clearer terms. It could have listed flood under exclusions at page 1 paragraph 4 of the endorsement, it could have excluded “loss due to flood whether caused by a peril insured against or otherwise.” It did not. </w:t>
      </w:r>
      <w:r>
        <w:rPr>
          <w:rFonts w:ascii="Times New Roman" w:hAnsi="Times New Roman" w:cs="Times New Roman"/>
          <w:i/>
          <w:iCs/>
          <w:color w:val="000000"/>
          <w:sz w:val="26"/>
          <w:szCs w:val="26"/>
        </w:rPr>
        <w:t xml:space="preserve">See </w:t>
      </w:r>
      <w:hyperlink r:id="rId40" w:anchor="co_pp_sp_4637_354" w:history="1">
        <w:r>
          <w:rPr>
            <w:rFonts w:ascii="Times New Roman" w:hAnsi="Times New Roman" w:cs="Times New Roman"/>
            <w:i/>
            <w:iCs/>
            <w:color w:val="0000FF"/>
            <w:sz w:val="26"/>
            <w:szCs w:val="26"/>
            <w:u w:val="single"/>
          </w:rPr>
          <w:t>Assurance Co. of America, Inc. v. Jay-Mar, Inc.</w:t>
        </w:r>
        <w:r>
          <w:rPr>
            <w:rFonts w:ascii="Times New Roman" w:hAnsi="Times New Roman" w:cs="Times New Roman"/>
            <w:color w:val="0000FF"/>
            <w:sz w:val="26"/>
            <w:szCs w:val="26"/>
            <w:u w:val="single"/>
          </w:rPr>
          <w:t>, 38 F. Supp. 2d 349, 354 (D. N.J. 1999)</w:t>
        </w:r>
      </w:hyperlink>
      <w:r>
        <w:rPr>
          <w:rFonts w:ascii="Times New Roman" w:hAnsi="Times New Roman" w:cs="Times New Roman"/>
          <w:color w:val="000000"/>
          <w:sz w:val="26"/>
          <w:szCs w:val="26"/>
        </w:rPr>
        <w:t xml:space="preserve">. </w:t>
      </w:r>
      <w:r w:rsidR="00190604">
        <w:rPr>
          <w:rFonts w:ascii="Times New Roman" w:hAnsi="Times New Roman" w:cs="Times New Roman"/>
          <w:color w:val="000000"/>
          <w:sz w:val="26"/>
          <w:szCs w:val="26"/>
        </w:rPr>
        <w:t>Northern</w:t>
      </w:r>
      <w:r>
        <w:rPr>
          <w:rFonts w:ascii="Times New Roman" w:hAnsi="Times New Roman" w:cs="Times New Roman"/>
          <w:color w:val="000000"/>
          <w:sz w:val="26"/>
          <w:szCs w:val="26"/>
        </w:rPr>
        <w:t xml:space="preserve"> is bound by its Policy terms.</w:t>
      </w:r>
    </w:p>
    <w:p w14:paraId="17374143" w14:textId="77777777" w:rsidR="006F0DEA" w:rsidRDefault="007B3EEC">
      <w:pPr>
        <w:widowControl w:val="0"/>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w:t>
      </w:r>
    </w:p>
    <w:p w14:paraId="3DCF5EF0" w14:textId="77777777" w:rsidR="006F0DEA" w:rsidRDefault="007B3EEC">
      <w:pPr>
        <w:widowControl w:val="0"/>
        <w:autoSpaceDE w:val="0"/>
        <w:autoSpaceDN w:val="0"/>
        <w:adjustRightInd w:val="0"/>
        <w:spacing w:before="520" w:after="260" w:line="240" w:lineRule="auto"/>
        <w:jc w:val="center"/>
        <w:rPr>
          <w:rFonts w:ascii="Times New Roman" w:hAnsi="Times New Roman" w:cs="Times New Roman"/>
          <w:b/>
          <w:bCs/>
          <w:i/>
          <w:iCs/>
          <w:color w:val="000000"/>
          <w:sz w:val="26"/>
          <w:szCs w:val="26"/>
        </w:rPr>
      </w:pPr>
      <w:r>
        <w:rPr>
          <w:rFonts w:ascii="Times New Roman" w:hAnsi="Times New Roman" w:cs="Times New Roman"/>
          <w:b/>
          <w:bCs/>
          <w:i/>
          <w:iCs/>
          <w:color w:val="000000"/>
          <w:sz w:val="26"/>
          <w:szCs w:val="26"/>
        </w:rPr>
        <w:t>CONCLUSION</w:t>
      </w:r>
    </w:p>
    <w:p w14:paraId="5779EE7C" w14:textId="24BFE9AF" w:rsidR="006F0DEA" w:rsidRDefault="00190604">
      <w:pPr>
        <w:widowControl w:val="0"/>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Northern</w:t>
      </w:r>
      <w:r w:rsidR="007B3EEC">
        <w:rPr>
          <w:rFonts w:ascii="Times New Roman" w:hAnsi="Times New Roman" w:cs="Times New Roman"/>
          <w:color w:val="000000"/>
          <w:sz w:val="26"/>
          <w:szCs w:val="26"/>
        </w:rPr>
        <w:t xml:space="preserve"> has not met its burden of proof that the exclusion for peril of flood is written in clear and unmistakable language, is subject to only one reasonable interpretation, and is applicable in this case.</w:t>
      </w:r>
    </w:p>
    <w:p w14:paraId="7BBEE7F4" w14:textId="77777777" w:rsidR="006F0DEA" w:rsidRDefault="007B3EEC">
      <w:pPr>
        <w:widowControl w:val="0"/>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w:t>
      </w:r>
    </w:p>
    <w:p w14:paraId="65D584D5" w14:textId="4EDD65BC" w:rsidR="006F0DEA" w:rsidRDefault="00190604">
      <w:pPr>
        <w:widowControl w:val="0"/>
        <w:autoSpaceDE w:val="0"/>
        <w:autoSpaceDN w:val="0"/>
        <w:adjustRightInd w:val="0"/>
        <w:spacing w:after="0" w:line="240" w:lineRule="auto"/>
        <w:jc w:val="both"/>
        <w:rPr>
          <w:rFonts w:ascii="Times New Roman" w:hAnsi="Times New Roman" w:cs="Times New Roman"/>
          <w:color w:val="000000"/>
          <w:sz w:val="26"/>
          <w:szCs w:val="26"/>
        </w:rPr>
      </w:pPr>
      <w:proofErr w:type="spellStart"/>
      <w:r>
        <w:rPr>
          <w:rFonts w:ascii="Times New Roman" w:hAnsi="Times New Roman" w:cs="Times New Roman"/>
          <w:color w:val="000000"/>
          <w:sz w:val="26"/>
          <w:szCs w:val="26"/>
        </w:rPr>
        <w:t>Northern’s</w:t>
      </w:r>
      <w:proofErr w:type="spellEnd"/>
      <w:r w:rsidR="007B3EEC">
        <w:rPr>
          <w:rFonts w:ascii="Times New Roman" w:hAnsi="Times New Roman" w:cs="Times New Roman"/>
          <w:color w:val="000000"/>
          <w:sz w:val="26"/>
          <w:szCs w:val="26"/>
        </w:rPr>
        <w:t xml:space="preserve"> motion must be denied. </w:t>
      </w:r>
      <w:r>
        <w:rPr>
          <w:rFonts w:ascii="Times New Roman" w:hAnsi="Times New Roman" w:cs="Times New Roman"/>
          <w:color w:val="000000"/>
          <w:sz w:val="26"/>
          <w:szCs w:val="26"/>
        </w:rPr>
        <w:t>Roberts</w:t>
      </w:r>
      <w:r w:rsidR="007B3EEC">
        <w:rPr>
          <w:rFonts w:ascii="Times New Roman" w:hAnsi="Times New Roman" w:cs="Times New Roman"/>
          <w:color w:val="000000"/>
          <w:sz w:val="26"/>
          <w:szCs w:val="26"/>
        </w:rPr>
        <w:t xml:space="preserve">’ motion for summary judgment that the exclusion for peril of flood is ambiguous must be granted. The Court must find that </w:t>
      </w:r>
      <w:r>
        <w:rPr>
          <w:rFonts w:ascii="Times New Roman" w:hAnsi="Times New Roman" w:cs="Times New Roman"/>
          <w:color w:val="000000"/>
          <w:sz w:val="26"/>
          <w:szCs w:val="26"/>
        </w:rPr>
        <w:t>Roberts</w:t>
      </w:r>
      <w:r w:rsidR="007B3EEC">
        <w:rPr>
          <w:rFonts w:ascii="Times New Roman" w:hAnsi="Times New Roman" w:cs="Times New Roman"/>
          <w:color w:val="000000"/>
          <w:sz w:val="26"/>
          <w:szCs w:val="26"/>
        </w:rPr>
        <w:t>’ claim is covered in full.</w:t>
      </w:r>
    </w:p>
    <w:p w14:paraId="4B55CFB2" w14:textId="77777777" w:rsidR="006F0DEA" w:rsidRDefault="007B3EEC">
      <w:pPr>
        <w:widowControl w:val="0"/>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w:t>
      </w:r>
    </w:p>
    <w:p w14:paraId="360DC438" w14:textId="77777777" w:rsidR="006F0DEA" w:rsidRDefault="007B3EEC">
      <w:pPr>
        <w:widowControl w:val="0"/>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Dated: October 3, 2014</w:t>
      </w:r>
    </w:p>
    <w:p w14:paraId="492D690B" w14:textId="77777777" w:rsidR="006F0DEA" w:rsidRDefault="007B3EEC">
      <w:pPr>
        <w:widowControl w:val="0"/>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w:t>
      </w:r>
    </w:p>
    <w:p w14:paraId="6E239685" w14:textId="77777777" w:rsidR="006F0DEA" w:rsidRDefault="007B3EEC">
      <w:pPr>
        <w:widowControl w:val="0"/>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Southport, CT</w:t>
      </w:r>
    </w:p>
    <w:p w14:paraId="6652701D" w14:textId="77777777" w:rsidR="006F0DEA" w:rsidRDefault="007B3EEC">
      <w:pPr>
        <w:widowControl w:val="0"/>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w:t>
      </w:r>
    </w:p>
    <w:p w14:paraId="03A3F5DC" w14:textId="77777777" w:rsidR="006F0DEA" w:rsidRDefault="007B3EEC">
      <w:pPr>
        <w:widowControl w:val="0"/>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The Plaintiff,</w:t>
      </w:r>
    </w:p>
    <w:p w14:paraId="441BACEC" w14:textId="77777777" w:rsidR="006F0DEA" w:rsidRDefault="007B3EEC">
      <w:pPr>
        <w:widowControl w:val="0"/>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w:t>
      </w:r>
    </w:p>
    <w:p w14:paraId="408F7B03" w14:textId="31390B75" w:rsidR="006F0DEA" w:rsidRDefault="00190604">
      <w:pPr>
        <w:widowControl w:val="0"/>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ROBERT A. ROBERTS</w:t>
      </w:r>
      <w:r w:rsidR="007B3EEC">
        <w:rPr>
          <w:rFonts w:ascii="Times New Roman" w:hAnsi="Times New Roman" w:cs="Times New Roman"/>
          <w:color w:val="000000"/>
          <w:sz w:val="26"/>
          <w:szCs w:val="26"/>
        </w:rPr>
        <w:t>.</w:t>
      </w:r>
    </w:p>
    <w:p w14:paraId="5B6EFB8E" w14:textId="77777777" w:rsidR="006F0DEA" w:rsidRDefault="007B3EEC">
      <w:pPr>
        <w:widowControl w:val="0"/>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w:t>
      </w:r>
    </w:p>
    <w:p w14:paraId="557AA25C" w14:textId="77777777" w:rsidR="006F0DEA" w:rsidRDefault="007B3EEC">
      <w:pPr>
        <w:widowControl w:val="0"/>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w:t>
      </w:r>
    </w:p>
    <w:tbl>
      <w:tblPr>
        <w:tblW w:w="0" w:type="auto"/>
        <w:tblInd w:w="24" w:type="dxa"/>
        <w:tblLayout w:type="fixed"/>
        <w:tblCellMar>
          <w:left w:w="0" w:type="dxa"/>
          <w:right w:w="0" w:type="dxa"/>
        </w:tblCellMar>
        <w:tblLook w:val="0000" w:firstRow="0" w:lastRow="0" w:firstColumn="0" w:lastColumn="0" w:noHBand="0" w:noVBand="0"/>
      </w:tblPr>
      <w:tblGrid>
        <w:gridCol w:w="4320"/>
        <w:gridCol w:w="5760"/>
      </w:tblGrid>
      <w:tr w:rsidR="006F0DEA" w14:paraId="4350B98C" w14:textId="77777777">
        <w:tc>
          <w:tcPr>
            <w:tcW w:w="4320" w:type="dxa"/>
            <w:tcBorders>
              <w:top w:val="single" w:sz="4" w:space="0" w:color="777777"/>
              <w:left w:val="nil"/>
              <w:bottom w:val="nil"/>
              <w:right w:val="nil"/>
            </w:tcBorders>
            <w:tcMar>
              <w:top w:w="100" w:type="dxa"/>
              <w:left w:w="24" w:type="dxa"/>
              <w:right w:w="24" w:type="dxa"/>
            </w:tcMar>
          </w:tcPr>
          <w:p w14:paraId="5CB38953" w14:textId="77777777" w:rsidR="006F0DEA" w:rsidRDefault="007B3EEC">
            <w:pPr>
              <w:widowControl w:val="0"/>
              <w:autoSpaceDE w:val="0"/>
              <w:autoSpaceDN w:val="0"/>
              <w:adjustRightInd w:val="0"/>
              <w:spacing w:after="0" w:line="240" w:lineRule="auto"/>
              <w:ind w:left="24" w:right="24"/>
              <w:rPr>
                <w:rFonts w:ascii="Times New Roman" w:hAnsi="Times New Roman" w:cs="Times New Roman"/>
                <w:b/>
                <w:bCs/>
                <w:color w:val="777777"/>
                <w:sz w:val="16"/>
                <w:szCs w:val="16"/>
              </w:rPr>
            </w:pPr>
            <w:r>
              <w:rPr>
                <w:rFonts w:ascii="Times New Roman" w:hAnsi="Times New Roman" w:cs="Times New Roman"/>
                <w:b/>
                <w:bCs/>
                <w:color w:val="777777"/>
                <w:sz w:val="16"/>
                <w:szCs w:val="16"/>
              </w:rPr>
              <w:t>End of Document</w:t>
            </w:r>
          </w:p>
          <w:p w14:paraId="6EA81030" w14:textId="77777777" w:rsidR="006F0DEA" w:rsidRDefault="006F0DEA">
            <w:pPr>
              <w:widowControl w:val="0"/>
              <w:autoSpaceDE w:val="0"/>
              <w:autoSpaceDN w:val="0"/>
              <w:adjustRightInd w:val="0"/>
              <w:spacing w:after="0" w:line="240" w:lineRule="auto"/>
              <w:ind w:left="24" w:right="24"/>
              <w:rPr>
                <w:rFonts w:ascii="Times New Roman" w:hAnsi="Times New Roman" w:cs="Times New Roman"/>
                <w:b/>
                <w:bCs/>
                <w:color w:val="777777"/>
                <w:sz w:val="16"/>
                <w:szCs w:val="16"/>
              </w:rPr>
            </w:pPr>
          </w:p>
        </w:tc>
        <w:tc>
          <w:tcPr>
            <w:tcW w:w="5760" w:type="dxa"/>
            <w:tcBorders>
              <w:top w:val="single" w:sz="4" w:space="0" w:color="777777"/>
              <w:left w:val="nil"/>
              <w:bottom w:val="nil"/>
              <w:right w:val="nil"/>
            </w:tcBorders>
            <w:tcMar>
              <w:top w:w="100" w:type="dxa"/>
              <w:left w:w="24" w:type="dxa"/>
              <w:right w:w="24" w:type="dxa"/>
            </w:tcMar>
          </w:tcPr>
          <w:p w14:paraId="4081F5E0" w14:textId="77777777" w:rsidR="006F0DEA" w:rsidRDefault="007B3EEC">
            <w:pPr>
              <w:widowControl w:val="0"/>
              <w:autoSpaceDE w:val="0"/>
              <w:autoSpaceDN w:val="0"/>
              <w:adjustRightInd w:val="0"/>
              <w:spacing w:after="0" w:line="240" w:lineRule="auto"/>
              <w:ind w:left="24" w:right="24"/>
              <w:jc w:val="right"/>
              <w:rPr>
                <w:rFonts w:ascii="Times New Roman" w:hAnsi="Times New Roman" w:cs="Times New Roman"/>
                <w:color w:val="777777"/>
                <w:sz w:val="16"/>
                <w:szCs w:val="16"/>
              </w:rPr>
            </w:pPr>
            <w:r>
              <w:rPr>
                <w:rFonts w:ascii="Times New Roman" w:hAnsi="Times New Roman" w:cs="Times New Roman"/>
                <w:color w:val="777777"/>
                <w:sz w:val="16"/>
                <w:szCs w:val="16"/>
              </w:rPr>
              <w:t>© 2020 Thomson Reuters. No claim to original U.S. Government Works.</w:t>
            </w:r>
          </w:p>
          <w:p w14:paraId="54C276B4" w14:textId="77777777" w:rsidR="006F0DEA" w:rsidRDefault="006F0DEA">
            <w:pPr>
              <w:widowControl w:val="0"/>
              <w:autoSpaceDE w:val="0"/>
              <w:autoSpaceDN w:val="0"/>
              <w:adjustRightInd w:val="0"/>
              <w:spacing w:after="0" w:line="240" w:lineRule="auto"/>
              <w:ind w:left="24" w:right="24"/>
              <w:jc w:val="right"/>
              <w:rPr>
                <w:rFonts w:ascii="Times New Roman" w:hAnsi="Times New Roman" w:cs="Times New Roman"/>
                <w:color w:val="777777"/>
                <w:sz w:val="16"/>
                <w:szCs w:val="16"/>
              </w:rPr>
            </w:pPr>
          </w:p>
        </w:tc>
      </w:tr>
    </w:tbl>
    <w:p w14:paraId="0AEB07C1" w14:textId="77777777" w:rsidR="006F0DEA" w:rsidRDefault="006F0DEA">
      <w:pPr>
        <w:widowControl w:val="0"/>
        <w:autoSpaceDE w:val="0"/>
        <w:autoSpaceDN w:val="0"/>
        <w:adjustRightInd w:val="0"/>
        <w:spacing w:after="0" w:line="240" w:lineRule="auto"/>
        <w:jc w:val="both"/>
        <w:rPr>
          <w:rFonts w:ascii="Times New Roman" w:hAnsi="Times New Roman" w:cs="Times New Roman"/>
          <w:color w:val="000000"/>
          <w:sz w:val="26"/>
          <w:szCs w:val="26"/>
        </w:rPr>
      </w:pPr>
    </w:p>
    <w:p w14:paraId="75952D0F" w14:textId="77777777" w:rsidR="006F0DEA" w:rsidRDefault="006F0DEA">
      <w:pPr>
        <w:widowControl w:val="0"/>
        <w:autoSpaceDE w:val="0"/>
        <w:autoSpaceDN w:val="0"/>
        <w:adjustRightInd w:val="0"/>
        <w:spacing w:after="0" w:line="240" w:lineRule="auto"/>
        <w:rPr>
          <w:rFonts w:ascii="Arial" w:hAnsi="Arial" w:cs="Arial"/>
          <w:sz w:val="24"/>
          <w:szCs w:val="24"/>
        </w:rPr>
      </w:pPr>
    </w:p>
    <w:sectPr w:rsidR="006F0DEA">
      <w:type w:val="continuous"/>
      <w:pgSz w:w="12240" w:h="15840"/>
      <w:pgMar w:top="1080" w:right="1080" w:bottom="1080" w:left="108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CF19E4F" w14:textId="77777777" w:rsidR="006F0DEA" w:rsidRDefault="007B3EEC">
      <w:pPr>
        <w:spacing w:after="0" w:line="240" w:lineRule="auto"/>
      </w:pPr>
      <w:r>
        <w:separator/>
      </w:r>
    </w:p>
  </w:endnote>
  <w:endnote w:type="continuationSeparator" w:id="0">
    <w:p w14:paraId="5CAE059F" w14:textId="77777777" w:rsidR="006F0DEA" w:rsidRDefault="007B3E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540A44" w14:textId="77777777" w:rsidR="006F0DEA" w:rsidRDefault="006F0DEA">
    <w:pPr>
      <w:widowControl w:val="0"/>
      <w:autoSpaceDE w:val="0"/>
      <w:autoSpaceDN w:val="0"/>
      <w:adjustRightInd w:val="0"/>
      <w:spacing w:after="0" w:line="240" w:lineRule="auto"/>
      <w:rPr>
        <w:rFonts w:ascii="Arial" w:hAnsi="Arial" w:cs="Arial"/>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5DD01DA" w14:textId="77777777" w:rsidR="006F0DEA" w:rsidRDefault="007B3EEC">
      <w:pPr>
        <w:spacing w:after="0" w:line="240" w:lineRule="auto"/>
      </w:pPr>
      <w:r>
        <w:separator/>
      </w:r>
    </w:p>
  </w:footnote>
  <w:footnote w:type="continuationSeparator" w:id="0">
    <w:p w14:paraId="4C148D6C" w14:textId="77777777" w:rsidR="006F0DEA" w:rsidRDefault="007B3E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E51236" w14:textId="77777777" w:rsidR="006F0DEA" w:rsidRDefault="006F0DEA">
    <w:pPr>
      <w:widowControl w:val="0"/>
      <w:autoSpaceDE w:val="0"/>
      <w:autoSpaceDN w:val="0"/>
      <w:adjustRightInd w:val="0"/>
      <w:spacing w:after="0" w:line="240" w:lineRule="auto"/>
      <w:rPr>
        <w:rFonts w:ascii="Arial" w:hAnsi="Arial" w:cs="Arial"/>
        <w:sz w:val="24"/>
        <w:szCs w:val="24"/>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EEC"/>
    <w:rsid w:val="00136525"/>
    <w:rsid w:val="00190604"/>
    <w:rsid w:val="005567B5"/>
    <w:rsid w:val="006F0DEA"/>
    <w:rsid w:val="007B3EEC"/>
    <w:rsid w:val="00D31D90"/>
    <w:rsid w:val="00DF61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30EA2F6"/>
  <w14:defaultImageDpi w14:val="0"/>
  <w15:docId w15:val="{7DB902BB-A65C-4C22-9D60-8CDBDA3CD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B3EEC"/>
    <w:pPr>
      <w:tabs>
        <w:tab w:val="center" w:pos="4680"/>
        <w:tab w:val="right" w:pos="9360"/>
      </w:tabs>
    </w:pPr>
  </w:style>
  <w:style w:type="character" w:customStyle="1" w:styleId="HeaderChar">
    <w:name w:val="Header Char"/>
    <w:basedOn w:val="DefaultParagraphFont"/>
    <w:link w:val="Header"/>
    <w:uiPriority w:val="99"/>
    <w:rsid w:val="007B3EEC"/>
  </w:style>
  <w:style w:type="paragraph" w:styleId="Footer">
    <w:name w:val="footer"/>
    <w:basedOn w:val="Normal"/>
    <w:link w:val="FooterChar"/>
    <w:uiPriority w:val="99"/>
    <w:unhideWhenUsed/>
    <w:rsid w:val="007B3EEC"/>
    <w:pPr>
      <w:tabs>
        <w:tab w:val="center" w:pos="4680"/>
        <w:tab w:val="right" w:pos="9360"/>
      </w:tabs>
    </w:pPr>
  </w:style>
  <w:style w:type="character" w:customStyle="1" w:styleId="FooterChar">
    <w:name w:val="Footer Char"/>
    <w:basedOn w:val="DefaultParagraphFont"/>
    <w:link w:val="Footer"/>
    <w:uiPriority w:val="99"/>
    <w:rsid w:val="007B3E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hyperlink" Target="http://www.westlaw.com/Link/Document/FullText?findType=Y&amp;serNum=1998091030&amp;pubNum=0000590&amp;originatingDoc=I99d43d709f5811e5963e943a6ea61b35&amp;refType=RP&amp;fi=co_pp_sp_590_87&amp;originationContext=document&amp;vr=3.0&amp;rs=cblt1.0&amp;transitionType=DocumentItem&amp;contextData=(sc.RelatedInfo)" TargetMode="External"/><Relationship Id="rId18" Type="http://schemas.openxmlformats.org/officeDocument/2006/relationships/hyperlink" Target="http://www.westlaw.com/Link/Document/FullText?findType=Y&amp;serNum=2002647198&amp;pubNum=0000273&amp;originatingDoc=I99d43d709f5811e5963e943a6ea61b35&amp;refType=RP&amp;fi=co_pp_sp_273_796&amp;originationContext=document&amp;vr=3.0&amp;rs=cblt1.0&amp;transitionType=DocumentItem&amp;contextData=(sc.RelatedInfo)" TargetMode="External"/><Relationship Id="rId26" Type="http://schemas.openxmlformats.org/officeDocument/2006/relationships/hyperlink" Target="http://www.westlaw.com/Link/Document/FullText?findType=Y&amp;serNum=1994065279&amp;pubNum=0000506&amp;originatingDoc=I99d43d709f5811e5963e943a6ea61b35&amp;refType=RP&amp;fi=co_pp_sp_506_1347&amp;originationContext=document&amp;vr=3.0&amp;rs=cblt1.0&amp;transitionType=DocumentItem&amp;contextData=(sc.RelatedInfo)" TargetMode="External"/><Relationship Id="rId39" Type="http://schemas.openxmlformats.org/officeDocument/2006/relationships/hyperlink" Target="http://www.westlaw.com/Link/Document/FullText?findType=Y&amp;serNum=2018521228&amp;pubNum=0000506&amp;originatingDoc=I99d43d709f5811e5963e943a6ea61b35&amp;refType=RP&amp;fi=co_pp_sp_506_784&amp;originationContext=document&amp;vr=3.0&amp;rs=cblt1.0&amp;transitionType=DocumentItem&amp;contextData=(sc.RelatedInfo)" TargetMode="External"/><Relationship Id="rId21" Type="http://schemas.openxmlformats.org/officeDocument/2006/relationships/hyperlink" Target="http://www.westlaw.com/Link/Document/FullText?findType=Y&amp;serNum=2018612628&amp;pubNum=0000506&amp;originatingDoc=I99d43d709f5811e5963e943a6ea61b35&amp;refType=RP&amp;fi=co_pp_sp_506_76&amp;originationContext=document&amp;vr=3.0&amp;rs=cblt1.0&amp;transitionType=DocumentItem&amp;contextData=(sc.RelatedInfo)" TargetMode="External"/><Relationship Id="rId34" Type="http://schemas.openxmlformats.org/officeDocument/2006/relationships/hyperlink" Target="http://www.westlaw.com/Link/Document/FullText?findType=Y&amp;serNum=1986139562&amp;pubNum=0000590&amp;originatingDoc=I99d43d709f5811e5963e943a6ea61b35&amp;refType=RP&amp;fi=co_pp_sp_590_251&amp;originationContext=document&amp;vr=3.0&amp;rs=cblt1.0&amp;transitionType=DocumentItem&amp;contextData=(sc.RelatedInfo)" TargetMode="External"/><Relationship Id="rId42" Type="http://schemas.openxmlformats.org/officeDocument/2006/relationships/theme" Target="theme/theme1.xml"/><Relationship Id="rId7"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hyperlink" Target="http://www.westlaw.com/Link/Document/FullText?findType=Y&amp;serNum=2022474687&amp;pubNum=0000583&amp;originatingDoc=I99d43d709f5811e5963e943a6ea61b35&amp;refType=RP&amp;fi=co_pp_sp_583_442&amp;originationContext=document&amp;vr=3.0&amp;rs=cblt1.0&amp;transitionType=DocumentItem&amp;contextData=(sc.RelatedInfo)" TargetMode="External"/><Relationship Id="rId20" Type="http://schemas.openxmlformats.org/officeDocument/2006/relationships/hyperlink" Target="http://www.westlaw.com/Link/Document/FullText?findType=Y&amp;serNum=2018612628&amp;pubNum=0000506&amp;originatingDoc=I99d43d709f5811e5963e943a6ea61b35&amp;refType=RP&amp;originationContext=document&amp;vr=3.0&amp;rs=cblt1.0&amp;transitionType=DocumentItem&amp;contextData=(sc.RelatedInfo)" TargetMode="External"/><Relationship Id="rId29" Type="http://schemas.openxmlformats.org/officeDocument/2006/relationships/hyperlink" Target="http://www.westlaw.com/Link/Document/FullText?findType=Y&amp;serNum=2011800562&amp;pubNum=0004637&amp;originatingDoc=I99d43d709f5811e5963e943a6ea61b35&amp;refType=RP&amp;fi=co_pp_sp_4637_70&amp;originationContext=document&amp;vr=3.0&amp;rs=cblt1.0&amp;transitionType=DocumentItem&amp;contextData=(sc.RelatedInfo)" TargetMode="External"/><Relationship Id="rId41"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hyperlink" Target="http://www.westlaw.com/Link/Document/FullText?findType=Y&amp;serNum=2028434857&amp;pubNum=0000999&amp;originatingDoc=I99d43d709f5811e5963e943a6ea61b35&amp;refType=RP&amp;originationContext=document&amp;vr=3.0&amp;rs=cblt1.0&amp;transitionType=DocumentItem&amp;contextData=(sc.RelatedInfo)" TargetMode="External"/><Relationship Id="rId24" Type="http://schemas.openxmlformats.org/officeDocument/2006/relationships/hyperlink" Target="http://www.westlaw.com/Link/Document/FullText?findType=Y&amp;serNum=1996155569&amp;pubNum=0000595&amp;originatingDoc=I99d43d709f5811e5963e943a6ea61b35&amp;refType=RP&amp;originationContext=document&amp;vr=3.0&amp;rs=cblt1.0&amp;transitionType=DocumentItem&amp;contextData=(sc.RelatedInfo)" TargetMode="External"/><Relationship Id="rId32" Type="http://schemas.openxmlformats.org/officeDocument/2006/relationships/hyperlink" Target="http://www.westlaw.com/Link/Document/FullText?findType=Y&amp;serNum=1979111102&amp;pubNum=0000590&amp;originatingDoc=I99d43d709f5811e5963e943a6ea61b35&amp;refType=RP&amp;fi=co_pp_sp_590_191&amp;originationContext=document&amp;vr=3.0&amp;rs=cblt1.0&amp;transitionType=DocumentItem&amp;contextData=(sc.RelatedInfo)" TargetMode="External"/><Relationship Id="rId37" Type="http://schemas.openxmlformats.org/officeDocument/2006/relationships/hyperlink" Target="http://www.westlaw.com/Link/Document/FullText?findType=Y&amp;serNum=2021086958&amp;pubNum=0004637&amp;originatingDoc=I99d43d709f5811e5963e943a6ea61b35&amp;refType=RP&amp;fi=co_pp_sp_4637_450&amp;originationContext=document&amp;vr=3.0&amp;rs=cblt1.0&amp;transitionType=DocumentItem&amp;contextData=(sc.RelatedInfo)" TargetMode="External"/><Relationship Id="rId40" Type="http://schemas.openxmlformats.org/officeDocument/2006/relationships/hyperlink" Target="http://www.westlaw.com/Link/Document/FullText?findType=Y&amp;serNum=1999069272&amp;pubNum=0004637&amp;originatingDoc=I99d43d709f5811e5963e943a6ea61b35&amp;refType=RP&amp;fi=co_pp_sp_4637_354&amp;originationContext=document&amp;vr=3.0&amp;rs=cblt1.0&amp;transitionType=DocumentItem&amp;contextData=(sc.RelatedInfo)" TargetMode="External"/><Relationship Id="rId5" Type="http://schemas.openxmlformats.org/officeDocument/2006/relationships/endnotes" Target="endnotes.xml"/><Relationship Id="rId15" Type="http://schemas.openxmlformats.org/officeDocument/2006/relationships/hyperlink" Target="http://www.westlaw.com/Link/Document/FullText?findType=Y&amp;serNum=2018652095&amp;pubNum=0000162&amp;originatingDoc=I99d43d709f5811e5963e943a6ea61b35&amp;refType=RP&amp;fi=co_pp_sp_162_733&amp;originationContext=document&amp;vr=3.0&amp;rs=cblt1.0&amp;transitionType=DocumentItem&amp;contextData=(sc.RelatedInfo)" TargetMode="External"/><Relationship Id="rId23" Type="http://schemas.openxmlformats.org/officeDocument/2006/relationships/hyperlink" Target="http://www.westlaw.com/Link/Document/FullText?findType=Y&amp;serNum=2004622597&amp;pubNum=0000595&amp;originatingDoc=I99d43d709f5811e5963e943a6ea61b35&amp;refType=RP&amp;fi=co_pp_sp_595_275&amp;originationContext=document&amp;vr=3.0&amp;rs=cblt1.0&amp;transitionType=DocumentItem&amp;contextData=(sc.RelatedInfo)" TargetMode="External"/><Relationship Id="rId28" Type="http://schemas.openxmlformats.org/officeDocument/2006/relationships/hyperlink" Target="http://www.westlaw.com/Link/Document/FullText?findType=Y&amp;serNum=1955111212&amp;pubNum=0000590&amp;originatingDoc=I99d43d709f5811e5963e943a6ea61b35&amp;refType=RP&amp;originationContext=document&amp;vr=3.0&amp;rs=cblt1.0&amp;transitionType=DocumentItem&amp;contextData=(sc.RelatedInfo)" TargetMode="External"/><Relationship Id="rId36" Type="http://schemas.openxmlformats.org/officeDocument/2006/relationships/hyperlink" Target="http://www.westlaw.com/Link/Document/FullText?findType=Y&amp;pubNum=0004644&amp;cite=20SW3D601&amp;originatingDoc=I99d43d709f5811e5963e943a6ea61b35&amp;refType=RP&amp;originationContext=document&amp;vr=3.0&amp;rs=cblt1.0&amp;transitionType=DocumentItem&amp;contextData=(sc.RelatedInfo)" TargetMode="External"/><Relationship Id="rId10" Type="http://schemas.openxmlformats.org/officeDocument/2006/relationships/hyperlink" Target="http://www.westlaw.com/Link/Document/FullText?findType=Y&amp;serNum=2018612628&amp;pubNum=0000506&amp;originatingDoc=I99d43d709f5811e5963e943a6ea61b35&amp;refType=RP&amp;fi=co_pp_sp_506_73&amp;originationContext=document&amp;vr=3.0&amp;rs=cblt1.0&amp;transitionType=DocumentItem&amp;contextData=(sc.RelatedInfo)" TargetMode="External"/><Relationship Id="rId19" Type="http://schemas.openxmlformats.org/officeDocument/2006/relationships/hyperlink" Target="http://www.westlaw.com/Link/Document/FullText?findType=Y&amp;serNum=2018652095&amp;pubNum=0000590&amp;originatingDoc=I99d43d709f5811e5963e943a6ea61b35&amp;refType=RP&amp;fi=co_pp_sp_590_539&amp;originationContext=document&amp;vr=3.0&amp;rs=cblt1.0&amp;transitionType=DocumentItem&amp;contextData=(sc.RelatedInfo)" TargetMode="External"/><Relationship Id="rId31" Type="http://schemas.openxmlformats.org/officeDocument/2006/relationships/hyperlink" Target="http://www.westlaw.com/Link/Document/FullText?findType=Y&amp;serNum=1999069272&amp;pubNum=0004637&amp;originatingDoc=I99d43d709f5811e5963e943a6ea61b35&amp;refType=RP&amp;fi=co_pp_sp_4637_353&amp;originationContext=document&amp;vr=3.0&amp;rs=cblt1.0&amp;transitionType=DocumentItem&amp;contextData=(sc.RelatedInfo)" TargetMode="External"/><Relationship Id="rId4" Type="http://schemas.openxmlformats.org/officeDocument/2006/relationships/footnotes" Target="footnotes.xml"/><Relationship Id="rId9" Type="http://schemas.openxmlformats.org/officeDocument/2006/relationships/hyperlink" Target="http://www.westlaw.com/Link/Document/FullText?findType=Y&amp;serNum=2018612628&amp;pubNum=0000506&amp;originatingDoc=I99d43d709f5811e5963e943a6ea61b35&amp;refType=RP&amp;fi=co_pp_sp_506_73&amp;originationContext=document&amp;vr=3.0&amp;rs=cblt1.0&amp;transitionType=DocumentItem&amp;contextData=(sc.RelatedInfo)" TargetMode="External"/><Relationship Id="rId14" Type="http://schemas.openxmlformats.org/officeDocument/2006/relationships/hyperlink" Target="http://www.westlaw.com/Link/Document/FullText?findType=Y&amp;serNum=0281900469&amp;pubNum=0113542&amp;originatingDoc=I99d43d709f5811e5963e943a6ea61b35&amp;refType=TS&amp;originationContext=document&amp;vr=3.0&amp;rs=cblt1.0&amp;transitionType=DocumentItem&amp;contextData=(sc.RelatedInfo)" TargetMode="External"/><Relationship Id="rId22" Type="http://schemas.openxmlformats.org/officeDocument/2006/relationships/hyperlink" Target="http://www.westlaw.com/Link/Document/FullText?findType=Y&amp;serNum=2018612628&amp;pubNum=0000506&amp;originatingDoc=I99d43d709f5811e5963e943a6ea61b35&amp;refType=RP&amp;fi=co_pp_sp_506_74&amp;originationContext=document&amp;vr=3.0&amp;rs=cblt1.0&amp;transitionType=DocumentItem&amp;contextData=(sc.RelatedInfo)" TargetMode="External"/><Relationship Id="rId27" Type="http://schemas.openxmlformats.org/officeDocument/2006/relationships/hyperlink" Target="http://www.westlaw.com/Link/Document/FullText?findType=Y&amp;serNum=2005413961&amp;pubNum=0000590&amp;originatingDoc=I99d43d709f5811e5963e943a6ea61b35&amp;refType=RP&amp;fi=co_pp_sp_590_431&amp;originationContext=document&amp;vr=3.0&amp;rs=cblt1.0&amp;transitionType=DocumentItem&amp;contextData=(sc.RelatedInfo)" TargetMode="External"/><Relationship Id="rId30" Type="http://schemas.openxmlformats.org/officeDocument/2006/relationships/hyperlink" Target="http://www.westlaw.com/Link/Document/FullText?findType=Y&amp;serNum=2004869096&amp;pubNum=0000583&amp;originatingDoc=I99d43d709f5811e5963e943a6ea61b35&amp;refType=RP&amp;fi=co_pp_sp_583_257&amp;originationContext=document&amp;vr=3.0&amp;rs=cblt1.0&amp;transitionType=DocumentItem&amp;contextData=(sc.RelatedInfo)" TargetMode="External"/><Relationship Id="rId35" Type="http://schemas.openxmlformats.org/officeDocument/2006/relationships/hyperlink" Target="http://www.westlaw.com/Link/Document/FullText?findType=Y&amp;serNum=2013083363&amp;pubNum=0000506&amp;originatingDoc=I99d43d709f5811e5963e943a6ea61b35&amp;refType=RP&amp;fi=co_pp_sp_506_437&amp;originationContext=document&amp;vr=3.0&amp;rs=cblt1.0&amp;transitionType=DocumentItem&amp;contextData=(sc.RelatedInfo)" TargetMode="External"/><Relationship Id="rId8" Type="http://schemas.openxmlformats.org/officeDocument/2006/relationships/hyperlink" Target="http://www.westlaw.com/Link/Document/FullText?findType=L&amp;pubNum=1000600&amp;cite=USFRCPR56&amp;originatingDoc=I99d43d709f5811e5963e943a6ea61b35&amp;refType=RB&amp;originationContext=document&amp;vr=3.0&amp;rs=cblt1.0&amp;transitionType=DocumentItem&amp;contextData=(sc.RelatedInfo)" TargetMode="External"/><Relationship Id="rId3" Type="http://schemas.openxmlformats.org/officeDocument/2006/relationships/webSettings" Target="webSettings.xml"/><Relationship Id="rId12" Type="http://schemas.openxmlformats.org/officeDocument/2006/relationships/hyperlink" Target="http://www.westlaw.com/Link/Document/FullText?findType=Y&amp;serNum=2018652095&amp;pubNum=0000162&amp;originatingDoc=I99d43d709f5811e5963e943a6ea61b35&amp;refType=RP&amp;fi=co_pp_sp_162_733&amp;originationContext=document&amp;vr=3.0&amp;rs=cblt1.0&amp;transitionType=DocumentItem&amp;contextData=(sc.RelatedInfo)" TargetMode="External"/><Relationship Id="rId17" Type="http://schemas.openxmlformats.org/officeDocument/2006/relationships/hyperlink" Target="http://www.westlaw.com/Link/Document/FullText?findType=Y&amp;serNum=2004563843&amp;pubNum=0000273&amp;originatingDoc=I99d43d709f5811e5963e943a6ea61b35&amp;refType=RP&amp;fi=co_pp_sp_273_406&amp;originationContext=document&amp;vr=3.0&amp;rs=cblt1.0&amp;transitionType=DocumentItem&amp;contextData=(sc.RelatedInfo)" TargetMode="External"/><Relationship Id="rId25" Type="http://schemas.openxmlformats.org/officeDocument/2006/relationships/hyperlink" Target="http://www.westlaw.com/Link/Document/FullText?findType=Y&amp;serNum=2012696050&amp;pubNum=0004637&amp;originatingDoc=I99d43d709f5811e5963e943a6ea61b35&amp;refType=RP&amp;originationContext=document&amp;vr=3.0&amp;rs=cblt1.0&amp;transitionType=DocumentItem&amp;contextData=(sc.RelatedInfo)" TargetMode="External"/><Relationship Id="rId33" Type="http://schemas.openxmlformats.org/officeDocument/2006/relationships/hyperlink" Target="http://www.westlaw.com/Link/Document/FullText?findType=Y&amp;serNum=1980222725&amp;pubNum=0000583&amp;originatingDoc=I99d43d709f5811e5963e943a6ea61b35&amp;refType=RP&amp;originationContext=document&amp;vr=3.0&amp;rs=cblt1.0&amp;transitionType=DocumentItem&amp;contextData=(sc.RelatedInfo)" TargetMode="External"/><Relationship Id="rId38" Type="http://schemas.openxmlformats.org/officeDocument/2006/relationships/hyperlink" Target="http://www.westlaw.com/Link/Document/FullText?findType=Y&amp;serNum=2013928180&amp;pubNum=0000506&amp;originatingDoc=I99d43d709f5811e5963e943a6ea61b35&amp;refType=RP&amp;fi=co_pp_sp_506_353&amp;originationContext=document&amp;vr=3.0&amp;rs=cblt1.0&amp;transitionType=DocumentItem&amp;contextData=(sc.RelatedInf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11</Pages>
  <Words>4826</Words>
  <Characters>34944</Characters>
  <Application>Microsoft Office Word</Application>
  <DocSecurity>0</DocSecurity>
  <Lines>291</Lines>
  <Paragraphs>79</Paragraphs>
  <ScaleCrop>false</ScaleCrop>
  <Company/>
  <LinksUpToDate>false</LinksUpToDate>
  <CharactersWithSpaces>39691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Malenick, Zachary (TR Product)</dc:creator>
  <cp:keywords/>
  <dc:description/>
  <cp:lastModifiedBy>Lane, Kevin (Legal)</cp:lastModifiedBy>
  <cp:revision>7</cp:revision>
  <dcterms:created xsi:type="dcterms:W3CDTF">2020-08-04T16:52:00Z</dcterms:created>
  <dcterms:modified xsi:type="dcterms:W3CDTF">2020-08-15T17:15:00Z</dcterms:modified>
</cp:coreProperties>
</file>