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68D35" w14:textId="1E3359C9" w:rsidR="00C775A3" w:rsidRPr="00C775A3" w:rsidRDefault="00C775A3" w:rsidP="007E4D74">
      <w:pPr>
        <w:pStyle w:val="Heading1"/>
      </w:pPr>
      <w:r w:rsidRPr="00C775A3">
        <w:t>Argument 1: The citations and quotes are not real.</w:t>
      </w:r>
    </w:p>
    <w:p w14:paraId="65313490" w14:textId="77777777" w:rsidR="00C775A3" w:rsidRDefault="00C775A3" w:rsidP="00C775A3"/>
    <w:p w14:paraId="165383B7" w14:textId="37341C5F" w:rsidR="00C775A3" w:rsidRPr="00C775A3" w:rsidRDefault="00C775A3" w:rsidP="00C775A3">
      <w:r w:rsidRPr="00C775A3">
        <w:t xml:space="preserve">We begin by noting that nearly </w:t>
      </w:r>
      <w:proofErr w:type="gramStart"/>
      <w:r w:rsidRPr="00C775A3">
        <w:t>all of</w:t>
      </w:r>
      <w:proofErr w:type="gramEnd"/>
      <w:r w:rsidRPr="00C775A3">
        <w:t xml:space="preserve"> the quotations in plaintiff's opening brief, and many of the quotations in plaintiff's reply brief, have been fabricated. That is, as noted above, although most of the cases to which the quotes are attributed exist, the quotes do not. Further, many of the cases plaintiff cites do not support the propositions for which they are cited or discuss other matters entirely, and a few of the cases do not exist at all. To give just a few examples:</w:t>
      </w:r>
    </w:p>
    <w:p w14:paraId="1CF0D096" w14:textId="77777777" w:rsidR="00C775A3" w:rsidRPr="00C775A3" w:rsidRDefault="00C775A3" w:rsidP="00C775A3">
      <w:r w:rsidRPr="00C775A3">
        <w:t xml:space="preserve">Plaintiff asserts: “In </w:t>
      </w:r>
      <w:hyperlink r:id="rId4" w:tgtFrame="_blank" w:tooltip="https://1.next.westlaw.com/link/document/fulltext?findtype=y&amp;sernum=2025241277&amp;pubnum=0004041&amp;originatingdoc=i333c87c0902511f0a090c3d3ba38f585&amp;reftype=rp&amp;originationcontext=document&amp;transitiontype=documentitem&amp;ppcid=d8096f692db24cf0a945b72779d20d7a&amp;contextdata=(sc.default)" w:history="1">
        <w:r w:rsidRPr="00C775A3">
          <w:rPr>
            <w:rStyle w:val="Hyperlink"/>
            <w:i/>
            <w:iCs/>
          </w:rPr>
          <w:t>Schimmel v. Levin</w:t>
        </w:r>
        <w:r w:rsidRPr="00C775A3">
          <w:rPr>
            <w:rStyle w:val="Hyperlink"/>
          </w:rPr>
          <w:t xml:space="preserve"> (2011) 195 Cal.App.4th 81</w:t>
        </w:r>
      </w:hyperlink>
      <w:r w:rsidRPr="00C775A3">
        <w:t xml:space="preserve">, the court discussed the legislative purpose behind </w:t>
      </w:r>
      <w:hyperlink r:id="rId5" w:anchor="co_pp_ac4e0000281c0" w:tgtFrame="_blank" w:tooltip="https://1.next.westlaw.com/link/document/fulltext?findtype=l&amp;pubnum=1000201&amp;cite=cacps437c&amp;originatingdoc=i333c87c0902511f0a090c3d3ba38f585&amp;reftype=rb&amp;originationcontext=document&amp;transitiontype=documentitem&amp;ppcid=d8096f692db24cf0a945b72779d20d7a&amp;contextdata=(sc.default)#co_pp_ac4e0000281c0" w:history="1">
        <w:r w:rsidRPr="00C775A3">
          <w:rPr>
            <w:rStyle w:val="Hyperlink"/>
          </w:rPr>
          <w:t>Section 437c(f)(2)</w:t>
        </w:r>
      </w:hyperlink>
      <w:r w:rsidRPr="00C775A3">
        <w:t xml:space="preserve">, highlighting that it was enacted to prevent abuse of the summary judgment procedure by disallowing multiple motions on the same issues.” In fact, </w:t>
      </w:r>
      <w:r w:rsidRPr="00C775A3">
        <w:rPr>
          <w:i/>
          <w:iCs/>
        </w:rPr>
        <w:t>Schimmel</w:t>
      </w:r>
      <w:r w:rsidRPr="00C775A3">
        <w:t xml:space="preserve"> does not contain a single reference to either summary judgment or </w:t>
      </w:r>
      <w:hyperlink r:id="rId6" w:tgtFrame="_blank" w:tooltip="https://1.next.westlaw.com/link/document/fulltext?findtype=l&amp;pubnum=1000201&amp;cite=cacps437c&amp;originatingdoc=i333c87c0902511f0a090c3d3ba38f585&amp;reftype=lq&amp;originationcontext=document&amp;transitiontype=documentitem&amp;ppcid=d8096f692db24cf0a945b72779d20d7a&amp;contextdata=(sc.default)" w:history="1">
        <w:r w:rsidRPr="00C775A3">
          <w:rPr>
            <w:rStyle w:val="Hyperlink"/>
          </w:rPr>
          <w:t>section 437c</w:t>
        </w:r>
      </w:hyperlink>
      <w:r w:rsidRPr="00C775A3">
        <w:t xml:space="preserve">. Appellant's opening brief also purports to quote </w:t>
      </w:r>
      <w:r w:rsidRPr="00C775A3">
        <w:rPr>
          <w:i/>
          <w:iCs/>
        </w:rPr>
        <w:t>Schimmel</w:t>
      </w:r>
      <w:r w:rsidRPr="00C775A3">
        <w:t xml:space="preserve"> as follows: “In </w:t>
      </w:r>
      <w:hyperlink r:id="rId7" w:anchor="co_pp_sp_4041_86" w:tgtFrame="_blank" w:tooltip="https://1.next.westlaw.com/link/document/fulltext?findtype=y&amp;sernum=2025241277&amp;pubnum=0004041&amp;originatingdoc=i333c87c0902511f0a090c3d3ba38f585&amp;reftype=rp&amp;fi=co_pp_sp_4041_86&amp;originationcontext=document&amp;transitiontype=documentitem&amp;ppcid=d8096f692db24cf0a945b72779d20d7a&amp;contextdata=(sc.default)#co_pp_sp_4041_86" w:history="1">
        <w:r w:rsidRPr="00C775A3">
          <w:rPr>
            <w:rStyle w:val="Hyperlink"/>
            <w:i/>
            <w:iCs/>
          </w:rPr>
          <w:t>Schimmel v. Levin</w:t>
        </w:r>
        <w:r w:rsidRPr="00C775A3">
          <w:rPr>
            <w:rStyle w:val="Hyperlink"/>
          </w:rPr>
          <w:t xml:space="preserve"> (2011) 195 Cal.App.4th 81, 86–87</w:t>
        </w:r>
      </w:hyperlink>
      <w:r w:rsidRPr="00C775A3">
        <w:t>, the court held: ‘Section 437c(f)(2) embodies a legislative judgment that a party should not be allowed to bring multiple motions for summary judgment based on the same issues without demonstrating newly discovered facts or circumstances or a change in the law. This policy applies even when the prior motion was denied on procedural grounds.</w:t>
      </w:r>
      <w:proofErr w:type="gramStart"/>
      <w:r w:rsidRPr="00C775A3">
        <w:t>’ ”</w:t>
      </w:r>
      <w:proofErr w:type="gramEnd"/>
      <w:r w:rsidRPr="00C775A3">
        <w:t xml:space="preserve"> The quoted language does not appear in </w:t>
      </w:r>
      <w:r w:rsidRPr="00C775A3">
        <w:rPr>
          <w:i/>
          <w:iCs/>
        </w:rPr>
        <w:t>Schimmel</w:t>
      </w:r>
      <w:r w:rsidRPr="00C775A3">
        <w:t>—or in any other case of which we are aware.</w:t>
      </w:r>
    </w:p>
    <w:p w14:paraId="5D7EBA72" w14:textId="77777777" w:rsidR="00C775A3" w:rsidRPr="00C775A3" w:rsidRDefault="00C775A3" w:rsidP="00C775A3">
      <w:r w:rsidRPr="00C775A3">
        <w:t xml:space="preserve">Plaintiff also asserts: “In </w:t>
      </w:r>
      <w:hyperlink r:id="rId8" w:anchor="co_pp_sp_4041_1504" w:tgtFrame="_blank" w:tooltip="https://1.next.westlaw.com/link/document/fulltext?findtype=y&amp;sernum=1998131986&amp;pubnum=0004041&amp;originatingdoc=i333c87c0902511f0a090c3d3ba38f585&amp;reftype=rp&amp;fi=co_pp_sp_4041_1504&amp;originationcontext=document&amp;transitiontype=documentitem&amp;ppcid=d8096f692db24cf0a945b72779d20d7a&amp;contextdata=(sc.default)#co_pp_sp_4041_1504" w:history="1">
        <w:r w:rsidRPr="00C775A3">
          <w:rPr>
            <w:rStyle w:val="Hyperlink"/>
            <w:i/>
            <w:iCs/>
          </w:rPr>
          <w:t>Regency Health Services, Inc. v. Superior Court</w:t>
        </w:r>
        <w:r w:rsidRPr="00C775A3">
          <w:rPr>
            <w:rStyle w:val="Hyperlink"/>
          </w:rPr>
          <w:t xml:space="preserve"> (1998) 64 Cal.App.4th 1496, 1504</w:t>
        </w:r>
      </w:hyperlink>
      <w:r w:rsidRPr="00C775A3">
        <w:t xml:space="preserve">, the court emphasized: ‘A continuance should not be granted when it is sought to facilitate procedural maneuvers rather than to promote justice.’ ” </w:t>
      </w:r>
      <w:r w:rsidRPr="00C775A3">
        <w:rPr>
          <w:i/>
          <w:iCs/>
        </w:rPr>
        <w:t>Regency</w:t>
      </w:r>
      <w:r w:rsidRPr="00C775A3">
        <w:t xml:space="preserve"> does not address the granting of a continuance, and the quoted language does not appear anywhere in the opinion.</w:t>
      </w:r>
    </w:p>
    <w:p w14:paraId="61C38AD8" w14:textId="77777777" w:rsidR="00C775A3" w:rsidRPr="00C775A3" w:rsidRDefault="00C775A3" w:rsidP="00C775A3">
      <w:r w:rsidRPr="00C775A3">
        <w:t xml:space="preserve">Plaintiff further asserts: “The court in </w:t>
      </w:r>
      <w:hyperlink r:id="rId9" w:anchor="co_pp_sp_4041_448" w:tgtFrame="_blank" w:tooltip="https://1.next.westlaw.com/link/document/fulltext?findtype=y&amp;sernum=2033673774&amp;pubnum=0004041&amp;originatingdoc=i333c87c0902511f0a090c3d3ba38f585&amp;reftype=rp&amp;fi=co_pp_sp_4041_448&amp;originationcontext=document&amp;transitiontype=documentitem&amp;ppcid=d8096f692db24cf0a945b72779d20d7a&amp;contextdata=(sc.default)#co_pp_sp_4041_448" w:history="1">
        <w:r w:rsidRPr="00C775A3">
          <w:rPr>
            <w:rStyle w:val="Hyperlink"/>
            <w:i/>
            <w:iCs/>
          </w:rPr>
          <w:t>Peake v. Underwood</w:t>
        </w:r>
        <w:r w:rsidRPr="00C775A3">
          <w:rPr>
            <w:rStyle w:val="Hyperlink"/>
          </w:rPr>
          <w:t>, 227 Cal.App.4th 428, 448 (2014)</w:t>
        </w:r>
      </w:hyperlink>
      <w:r w:rsidRPr="00C775A3">
        <w:t xml:space="preserve">, emphasized that filing a second dispositive motion without new facts or law is frivolous and subject to sanctions.” </w:t>
      </w:r>
      <w:r w:rsidRPr="00C775A3">
        <w:rPr>
          <w:i/>
          <w:iCs/>
        </w:rPr>
        <w:t>Peake</w:t>
      </w:r>
      <w:r w:rsidRPr="00C775A3">
        <w:t xml:space="preserve"> does not address the filing of a second dispositive motion, and the only sanctions at issue in that case were for filing a frivolous pleading. (</w:t>
      </w:r>
      <w:hyperlink r:id="rId10" w:anchor="co_pp_sp_4041_432" w:tgtFrame="_blank" w:tooltip="https://1.next.westlaw.com/link/document/fulltext?findtype=y&amp;sernum=2033673774&amp;pubnum=0004041&amp;originatingdoc=i333c87c0902511f0a090c3d3ba38f585&amp;reftype=rp&amp;fi=co_pp_sp_4041_432&amp;originationcontext=document&amp;transitiontype=documentitem&amp;ppcid=d8096f692db24cf0a945b72779d20d7a&amp;contextdata=(sc.default)#co_pp_sp_4041_432" w:history="1">
        <w:r w:rsidRPr="00C775A3">
          <w:rPr>
            <w:rStyle w:val="Hyperlink"/>
            <w:i/>
            <w:iCs/>
          </w:rPr>
          <w:t>Id.</w:t>
        </w:r>
        <w:r w:rsidRPr="00C775A3">
          <w:rPr>
            <w:rStyle w:val="Hyperlink"/>
          </w:rPr>
          <w:t xml:space="preserve"> at pp. 432–450</w:t>
        </w:r>
      </w:hyperlink>
      <w:r w:rsidRPr="00C775A3">
        <w:t>.)</w:t>
      </w:r>
    </w:p>
    <w:p w14:paraId="25B25BBC" w14:textId="77777777" w:rsidR="00C775A3" w:rsidRPr="00C775A3" w:rsidRDefault="00C775A3" w:rsidP="00C775A3">
      <w:r w:rsidRPr="00C775A3">
        <w:t xml:space="preserve">Plaintiff additionally asserts: “As in </w:t>
      </w:r>
      <w:r w:rsidRPr="00C775A3">
        <w:rPr>
          <w:i/>
          <w:iCs/>
        </w:rPr>
        <w:t>Goldstine v. Liberty Mut. Ins. Co.</w:t>
      </w:r>
      <w:r w:rsidRPr="00C775A3">
        <w:t xml:space="preserve">, 2020 WL 6216738 (W.D. Wash. 2020)2020 WL 6216738 (W.D. Wash. 2020), where sanctions were imposed for similar baseless claims of personal hardship to delay proceedings, Mr. Yadegari's actions warranted sanctions under </w:t>
      </w:r>
      <w:hyperlink r:id="rId11" w:tgtFrame="_blank" w:tooltip="https://1.next.westlaw.com/link/document/fulltext?findtype=l&amp;pubnum=1000201&amp;cite=cacps128.5&amp;originatingdoc=i333c87c0902511f0a090c3d3ba38f585&amp;reftype=lq&amp;originationcontext=document&amp;transitiontype=documentitem&amp;ppcid=d8096f692db24cf0a945b72779d20d7a&amp;contextdata=(sc.default)" w:history="1">
        <w:r w:rsidRPr="00C775A3">
          <w:rPr>
            <w:rStyle w:val="Hyperlink"/>
          </w:rPr>
          <w:t>California Code of Civil Procedure § 128.5</w:t>
        </w:r>
      </w:hyperlink>
      <w:r w:rsidRPr="00C775A3">
        <w:t xml:space="preserve"> for making false statements to obtain an improper advantage.” </w:t>
      </w:r>
      <w:r w:rsidRPr="00C775A3">
        <w:rPr>
          <w:i/>
          <w:iCs/>
        </w:rPr>
        <w:t>Goldstine</w:t>
      </w:r>
      <w:r w:rsidRPr="00C775A3">
        <w:t xml:space="preserve"> appears to be a fabricated case.</w:t>
      </w:r>
    </w:p>
    <w:p w14:paraId="4675F7EA" w14:textId="77777777" w:rsidR="00C775A3" w:rsidRPr="00C775A3" w:rsidRDefault="00C775A3" w:rsidP="00C775A3">
      <w:r w:rsidRPr="00C775A3">
        <w:lastRenderedPageBreak/>
        <w:t xml:space="preserve">And, plaintiff asserts: “The California Court of Appeal in </w:t>
      </w:r>
      <w:hyperlink r:id="rId12" w:anchor="co_pp_sp_226_837" w:tgtFrame="_blank" w:tooltip="https://1.next.westlaw.com/link/document/fulltext?findtype=y&amp;sernum=1989036368&amp;pubnum=0000226&amp;originatingdoc=i333c87c0902511f0a090c3d3ba38f585&amp;reftype=rp&amp;fi=co_pp_sp_226_837&amp;originationcontext=document&amp;transitiontype=documentitem&amp;ppcid=d8096f692db24cf0a945b72779d20d7a&amp;contextdata=(sc.default)#co_pp_sp_226_837" w:history="1">
        <w:r w:rsidRPr="00C775A3">
          <w:rPr>
            <w:rStyle w:val="Hyperlink"/>
            <w:i/>
            <w:iCs/>
          </w:rPr>
          <w:t>Heckert v. MacDonald</w:t>
        </w:r>
        <w:r w:rsidRPr="00C775A3">
          <w:rPr>
            <w:rStyle w:val="Hyperlink"/>
          </w:rPr>
          <w:t>, 208 Cal.App.3d 832, 837 (1989)</w:t>
        </w:r>
      </w:hyperlink>
      <w:r w:rsidRPr="00C775A3">
        <w:t xml:space="preserve">, emphasized that sanctions should be imposed where a party uses procedural rules to gain an unfair advantage by engaging in ‘frivolous litigation tactics.’ ” The words “frivolous,” “unfair,” and “tactics” do not appear in </w:t>
      </w:r>
      <w:r w:rsidRPr="00C775A3">
        <w:rPr>
          <w:i/>
          <w:iCs/>
        </w:rPr>
        <w:t>Heckert</w:t>
      </w:r>
      <w:r w:rsidRPr="00C775A3">
        <w:t>, which concerns the appellants’ claim that the trial court erred by refusing to order their real estate broker to pay their attorney fees as damages.</w:t>
      </w:r>
    </w:p>
    <w:p w14:paraId="36B4A3D3" w14:textId="77777777" w:rsidR="00C775A3" w:rsidRPr="00C775A3" w:rsidRDefault="00C775A3" w:rsidP="00C775A3">
      <w:r w:rsidRPr="00C775A3">
        <w:t>In total, appellant's opening brief contains 23 case quotations, 21 of which are fabrications. Appellant's reply brief contains many more fabricated quotations. And, both briefs are peppered with inaccurate citations that do not support the propositions for which they are cited.</w:t>
      </w:r>
    </w:p>
    <w:p w14:paraId="4AFDAAFF" w14:textId="10A0396E" w:rsidR="00C775A3" w:rsidRPr="00C775A3" w:rsidRDefault="00C775A3" w:rsidP="00C775A3">
      <w:r w:rsidRPr="00C775A3">
        <w:t xml:space="preserve">The extensive reliance on nonexistent legal authority would justify striking appellant's opening brief or dismissing the appeal. (See, e.g., </w:t>
      </w:r>
      <w:hyperlink r:id="rId13" w:anchor="co_pp_sp_7053_77" w:tgtFrame="_blank" w:tooltip="https://1.next.westlaw.com/link/document/fulltext?findtype=y&amp;sernum=2056452988&amp;pubnum=0007053&amp;originatingdoc=i333c87c0902511f0a090c3d3ba38f585&amp;reftype=rp&amp;fi=co_pp_sp_7053_77&amp;originationcontext=document&amp;transitiontype=documentitem&amp;ppcid=d8096f692db24cf0a945b72779d20d7a&amp;contextdata=(sc.default)#co_pp_sp_7053_77" w:history="1">
        <w:r w:rsidRPr="00C775A3">
          <w:rPr>
            <w:rStyle w:val="Hyperlink"/>
            <w:i/>
            <w:iCs/>
          </w:rPr>
          <w:t>In re Marriage of Deal</w:t>
        </w:r>
        <w:r w:rsidRPr="00C775A3">
          <w:rPr>
            <w:rStyle w:val="Hyperlink"/>
          </w:rPr>
          <w:t xml:space="preserve"> (2022) 80 Cal.App.5th 71, 77–81</w:t>
        </w:r>
      </w:hyperlink>
      <w:r w:rsidRPr="00C775A3">
        <w:t xml:space="preserve"> [dismissing frivolous appeal]; </w:t>
      </w:r>
      <w:hyperlink r:id="rId14" w:anchor="co_pp_sp_7053_182" w:tgtFrame="_blank" w:tooltip="https://1.next.westlaw.com/link/document/fulltext?findtype=y&amp;sernum=2044506079&amp;pubnum=0007053&amp;originatingdoc=i333c87c0902511f0a090c3d3ba38f585&amp;reftype=rp&amp;fi=co_pp_sp_7053_182&amp;originationcontext=document&amp;transitiontype=documentitem&amp;ppcid=d8096f692db24cf0a945b72779d20d7a&amp;contextdata=(sc.default)#co_pp_sp_7053_182" w:history="1">
        <w:r w:rsidRPr="00C775A3">
          <w:rPr>
            <w:rStyle w:val="Hyperlink"/>
            <w:i/>
            <w:iCs/>
          </w:rPr>
          <w:t>Huang v. Hanks</w:t>
        </w:r>
        <w:r w:rsidRPr="00C775A3">
          <w:rPr>
            <w:rStyle w:val="Hyperlink"/>
          </w:rPr>
          <w:t xml:space="preserve"> (2018) 23 Cal.App.5th 179, 182</w:t>
        </w:r>
      </w:hyperlink>
      <w:r w:rsidRPr="00C775A3">
        <w:t xml:space="preserve"> [“ ‘appellate courts possess the ... inherent power to summarily dismiss any action or appeal which ... is based upon ... frivolous grounds’ ”].) Nonetheless, because nothing indicates that plaintiff was aware that her counsel had fabricated legal authority, and defendants addressed plaintiff's contentions on the merits, we will do the same. (See </w:t>
      </w:r>
      <w:r w:rsidRPr="00C775A3">
        <w:drawing>
          <wp:inline distT="0" distB="0" distL="0" distR="0" wp14:anchorId="08288A6F" wp14:editId="7802706F">
            <wp:extent cx="152400" cy="152400"/>
            <wp:effectExtent l="0" t="0" r="0" b="0"/>
            <wp:docPr id="767139867"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hyperlink r:id="rId16" w:anchor="co_pp_sp_233_443" w:tgtFrame="_blank" w:tooltip="https://1.next.westlaw.com/link/document/fulltext?findtype=y&amp;sernum=1979125945&amp;pubnum=0000233&amp;originatingdoc=i333c87c0902511f0a090c3d3ba38f585&amp;reftype=rp&amp;fi=co_pp_sp_233_443&amp;originationcontext=document&amp;transitiontype=documentitem&amp;ppcid=d8096f692db24cf0a945b72779d20d7a&amp;contextdata=(sc.default)#co_pp_sp_233_443" w:history="1">
        <w:r w:rsidRPr="00C775A3">
          <w:rPr>
            <w:rStyle w:val="Hyperlink"/>
            <w:i/>
            <w:iCs/>
          </w:rPr>
          <w:t>People v. Wende</w:t>
        </w:r>
        <w:r w:rsidRPr="00C775A3">
          <w:rPr>
            <w:rStyle w:val="Hyperlink"/>
          </w:rPr>
          <w:t xml:space="preserve"> (1979) 25 Cal.3d 436, 443</w:t>
        </w:r>
      </w:hyperlink>
      <w:r w:rsidRPr="00C775A3">
        <w:t xml:space="preserve"> [affirming on the merits rather than dismissing appeal as frivolous: “Once the record has been reviewed thoroughly, little appears to be gained by dismissing the appeal rather than deciding it on its merits”].)</w:t>
      </w:r>
    </w:p>
    <w:p w14:paraId="7E2998C4" w14:textId="77777777" w:rsidR="00F71FB0" w:rsidRDefault="00F71FB0"/>
    <w:sectPr w:rsidR="00F71F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5A3"/>
    <w:rsid w:val="001B4578"/>
    <w:rsid w:val="00237DE2"/>
    <w:rsid w:val="0042525D"/>
    <w:rsid w:val="005C5607"/>
    <w:rsid w:val="00676BA8"/>
    <w:rsid w:val="007E4D74"/>
    <w:rsid w:val="00964ADD"/>
    <w:rsid w:val="00C775A3"/>
    <w:rsid w:val="00F52D06"/>
    <w:rsid w:val="00F71F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47927"/>
  <w15:chartTrackingRefBased/>
  <w15:docId w15:val="{98B4083F-51C7-47B9-9EB6-F82ABBD3A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75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75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75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75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75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75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75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75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75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75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75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75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75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75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75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75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75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75A3"/>
    <w:rPr>
      <w:rFonts w:eastAsiaTheme="majorEastAsia" w:cstheme="majorBidi"/>
      <w:color w:val="272727" w:themeColor="text1" w:themeTint="D8"/>
    </w:rPr>
  </w:style>
  <w:style w:type="paragraph" w:styleId="Title">
    <w:name w:val="Title"/>
    <w:basedOn w:val="Normal"/>
    <w:next w:val="Normal"/>
    <w:link w:val="TitleChar"/>
    <w:uiPriority w:val="10"/>
    <w:qFormat/>
    <w:rsid w:val="00C775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75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75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75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75A3"/>
    <w:pPr>
      <w:spacing w:before="160"/>
      <w:jc w:val="center"/>
    </w:pPr>
    <w:rPr>
      <w:i/>
      <w:iCs/>
      <w:color w:val="404040" w:themeColor="text1" w:themeTint="BF"/>
    </w:rPr>
  </w:style>
  <w:style w:type="character" w:customStyle="1" w:styleId="QuoteChar">
    <w:name w:val="Quote Char"/>
    <w:basedOn w:val="DefaultParagraphFont"/>
    <w:link w:val="Quote"/>
    <w:uiPriority w:val="29"/>
    <w:rsid w:val="00C775A3"/>
    <w:rPr>
      <w:i/>
      <w:iCs/>
      <w:color w:val="404040" w:themeColor="text1" w:themeTint="BF"/>
    </w:rPr>
  </w:style>
  <w:style w:type="paragraph" w:styleId="ListParagraph">
    <w:name w:val="List Paragraph"/>
    <w:basedOn w:val="Normal"/>
    <w:uiPriority w:val="34"/>
    <w:qFormat/>
    <w:rsid w:val="00C775A3"/>
    <w:pPr>
      <w:ind w:left="720"/>
      <w:contextualSpacing/>
    </w:pPr>
  </w:style>
  <w:style w:type="character" w:styleId="IntenseEmphasis">
    <w:name w:val="Intense Emphasis"/>
    <w:basedOn w:val="DefaultParagraphFont"/>
    <w:uiPriority w:val="21"/>
    <w:qFormat/>
    <w:rsid w:val="00C775A3"/>
    <w:rPr>
      <w:i/>
      <w:iCs/>
      <w:color w:val="0F4761" w:themeColor="accent1" w:themeShade="BF"/>
    </w:rPr>
  </w:style>
  <w:style w:type="paragraph" w:styleId="IntenseQuote">
    <w:name w:val="Intense Quote"/>
    <w:basedOn w:val="Normal"/>
    <w:next w:val="Normal"/>
    <w:link w:val="IntenseQuoteChar"/>
    <w:uiPriority w:val="30"/>
    <w:qFormat/>
    <w:rsid w:val="00C775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75A3"/>
    <w:rPr>
      <w:i/>
      <w:iCs/>
      <w:color w:val="0F4761" w:themeColor="accent1" w:themeShade="BF"/>
    </w:rPr>
  </w:style>
  <w:style w:type="character" w:styleId="IntenseReference">
    <w:name w:val="Intense Reference"/>
    <w:basedOn w:val="DefaultParagraphFont"/>
    <w:uiPriority w:val="32"/>
    <w:qFormat/>
    <w:rsid w:val="00C775A3"/>
    <w:rPr>
      <w:b/>
      <w:bCs/>
      <w:smallCaps/>
      <w:color w:val="0F4761" w:themeColor="accent1" w:themeShade="BF"/>
      <w:spacing w:val="5"/>
    </w:rPr>
  </w:style>
  <w:style w:type="character" w:styleId="Hyperlink">
    <w:name w:val="Hyperlink"/>
    <w:basedOn w:val="DefaultParagraphFont"/>
    <w:uiPriority w:val="99"/>
    <w:unhideWhenUsed/>
    <w:rsid w:val="00C775A3"/>
    <w:rPr>
      <w:color w:val="467886" w:themeColor="hyperlink"/>
      <w:u w:val="single"/>
    </w:rPr>
  </w:style>
  <w:style w:type="character" w:styleId="UnresolvedMention">
    <w:name w:val="Unresolved Mention"/>
    <w:basedOn w:val="DefaultParagraphFont"/>
    <w:uiPriority w:val="99"/>
    <w:semiHidden/>
    <w:unhideWhenUsed/>
    <w:rsid w:val="00C775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023326">
      <w:bodyDiv w:val="1"/>
      <w:marLeft w:val="0"/>
      <w:marRight w:val="0"/>
      <w:marTop w:val="0"/>
      <w:marBottom w:val="0"/>
      <w:divBdr>
        <w:top w:val="none" w:sz="0" w:space="0" w:color="auto"/>
        <w:left w:val="none" w:sz="0" w:space="0" w:color="auto"/>
        <w:bottom w:val="none" w:sz="0" w:space="0" w:color="auto"/>
        <w:right w:val="none" w:sz="0" w:space="0" w:color="auto"/>
      </w:divBdr>
    </w:div>
    <w:div w:id="2129466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1.next.westlaw.com/Link/Document/FullText?findType=Y&amp;serNum=1998131986&amp;pubNum=0004041&amp;originatingDoc=I333c87c0902511f0a090c3d3ba38f585&amp;refType=RP&amp;fi=co_pp_sp_4041_1504&amp;originationContext=document&amp;transitionType=DocumentItem&amp;ppcid=d8096f692db24cf0a945b72779d20d7a&amp;contextData=(sc.Default)" TargetMode="External"/><Relationship Id="rId13" Type="http://schemas.openxmlformats.org/officeDocument/2006/relationships/hyperlink" Target="https://1.next.westlaw.com/Link/Document/FullText?findType=Y&amp;serNum=2056452988&amp;pubNum=0007053&amp;originatingDoc=I333c87c0902511f0a090c3d3ba38f585&amp;refType=RP&amp;fi=co_pp_sp_7053_77&amp;originationContext=document&amp;transitionType=DocumentItem&amp;ppcid=d8096f692db24cf0a945b72779d20d7a&amp;contextData=(sc.Default)"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1.next.westlaw.com/Link/Document/FullText?findType=Y&amp;serNum=2025241277&amp;pubNum=0004041&amp;originatingDoc=I333c87c0902511f0a090c3d3ba38f585&amp;refType=RP&amp;fi=co_pp_sp_4041_86&amp;originationContext=document&amp;transitionType=DocumentItem&amp;ppcid=d8096f692db24cf0a945b72779d20d7a&amp;contextData=(sc.Default)" TargetMode="External"/><Relationship Id="rId12" Type="http://schemas.openxmlformats.org/officeDocument/2006/relationships/hyperlink" Target="https://1.next.westlaw.com/Link/Document/FullText?findType=Y&amp;serNum=1989036368&amp;pubNum=0000226&amp;originatingDoc=I333c87c0902511f0a090c3d3ba38f585&amp;refType=RP&amp;fi=co_pp_sp_226_837&amp;originationContext=document&amp;transitionType=DocumentItem&amp;ppcid=d8096f692db24cf0a945b72779d20d7a&amp;contextData=(sc.Default)"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1.next.westlaw.com/Link/Document/FullText?findType=Y&amp;serNum=1979125945&amp;pubNum=0000233&amp;originatingDoc=I333c87c0902511f0a090c3d3ba38f585&amp;refType=RP&amp;fi=co_pp_sp_233_443&amp;originationContext=document&amp;transitionType=DocumentItem&amp;ppcid=d8096f692db24cf0a945b72779d20d7a&amp;contextData=(sc.Default)" TargetMode="External"/><Relationship Id="rId1" Type="http://schemas.openxmlformats.org/officeDocument/2006/relationships/styles" Target="styles.xml"/><Relationship Id="rId6" Type="http://schemas.openxmlformats.org/officeDocument/2006/relationships/hyperlink" Target="https://1.next.westlaw.com/Link/Document/FullText?findType=L&amp;pubNum=1000201&amp;cite=CACPS437C&amp;originatingDoc=I333c87c0902511f0a090c3d3ba38f585&amp;refType=LQ&amp;originationContext=document&amp;transitionType=DocumentItem&amp;ppcid=d8096f692db24cf0a945b72779d20d7a&amp;contextData=(sc.Default)" TargetMode="External"/><Relationship Id="rId11" Type="http://schemas.openxmlformats.org/officeDocument/2006/relationships/hyperlink" Target="https://1.next.westlaw.com/Link/Document/FullText?findType=L&amp;pubNum=1000201&amp;cite=CACPS128.5&amp;originatingDoc=I333c87c0902511f0a090c3d3ba38f585&amp;refType=LQ&amp;originationContext=document&amp;transitionType=DocumentItem&amp;ppcid=d8096f692db24cf0a945b72779d20d7a&amp;contextData=(sc.Default)" TargetMode="External"/><Relationship Id="rId5" Type="http://schemas.openxmlformats.org/officeDocument/2006/relationships/hyperlink" Target="https://1.next.westlaw.com/Link/Document/FullText?findType=L&amp;pubNum=1000201&amp;cite=CACPS437C&amp;originatingDoc=I333c87c0902511f0a090c3d3ba38f585&amp;refType=RB&amp;originationContext=document&amp;transitionType=DocumentItem&amp;ppcid=d8096f692db24cf0a945b72779d20d7a&amp;contextData=(sc.Default)" TargetMode="External"/><Relationship Id="rId15" Type="http://schemas.openxmlformats.org/officeDocument/2006/relationships/image" Target="media/image1.jpeg"/><Relationship Id="rId10" Type="http://schemas.openxmlformats.org/officeDocument/2006/relationships/hyperlink" Target="https://1.next.westlaw.com/Link/Document/FullText?findType=Y&amp;serNum=2033673774&amp;pubNum=0004041&amp;originatingDoc=I333c87c0902511f0a090c3d3ba38f585&amp;refType=RP&amp;fi=co_pp_sp_4041_432&amp;originationContext=document&amp;transitionType=DocumentItem&amp;ppcid=d8096f692db24cf0a945b72779d20d7a&amp;contextData=(sc.Default)" TargetMode="External"/><Relationship Id="rId4" Type="http://schemas.openxmlformats.org/officeDocument/2006/relationships/hyperlink" Target="https://1.next.westlaw.com/Link/Document/FullText?findType=Y&amp;serNum=2025241277&amp;pubNum=0004041&amp;originatingDoc=I333c87c0902511f0a090c3d3ba38f585&amp;refType=RP&amp;originationContext=document&amp;transitionType=DocumentItem&amp;ppcid=d8096f692db24cf0a945b72779d20d7a&amp;contextData=(sc.Default)" TargetMode="External"/><Relationship Id="rId9" Type="http://schemas.openxmlformats.org/officeDocument/2006/relationships/hyperlink" Target="https://1.next.westlaw.com/Link/Document/FullText?findType=Y&amp;serNum=2033673774&amp;pubNum=0004041&amp;originatingDoc=I333c87c0902511f0a090c3d3ba38f585&amp;refType=RP&amp;fi=co_pp_sp_4041_448&amp;originationContext=document&amp;transitionType=DocumentItem&amp;ppcid=d8096f692db24cf0a945b72779d20d7a&amp;contextData=(sc.Default)" TargetMode="External"/><Relationship Id="rId14" Type="http://schemas.openxmlformats.org/officeDocument/2006/relationships/hyperlink" Target="https://1.next.westlaw.com/Link/Document/FullText?findType=Y&amp;serNum=2044506079&amp;pubNum=0007053&amp;originatingDoc=I333c87c0902511f0a090c3d3ba38f585&amp;refType=RP&amp;fi=co_pp_sp_7053_182&amp;originationContext=document&amp;transitionType=DocumentItem&amp;ppcid=d8096f692db24cf0a945b72779d20d7a&amp;contextData=(sc.Defaul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1784</Words>
  <Characters>10175</Characters>
  <Application>Microsoft Office Word</Application>
  <DocSecurity>0</DocSecurity>
  <Lines>84</Lines>
  <Paragraphs>23</Paragraphs>
  <ScaleCrop>false</ScaleCrop>
  <Company/>
  <LinksUpToDate>false</LinksUpToDate>
  <CharactersWithSpaces>11936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Petersburg, Benjamin (TR Product)</dc:creator>
  <cp:keywords/>
  <dc:description/>
  <cp:lastModifiedBy>Petersburg, Benjamin (TR Product)</cp:lastModifiedBy>
  <cp:revision>2</cp:revision>
  <dcterms:created xsi:type="dcterms:W3CDTF">2025-09-17T17:20:00Z</dcterms:created>
  <dcterms:modified xsi:type="dcterms:W3CDTF">2025-09-17T17:20:00Z</dcterms:modified>
</cp:coreProperties>
</file>