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цей протокол описано під час проєктування системи.</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w:t>
      </w:r>
    </w:p>
    <w:p>
      <w:pPr>
        <w:pStyle w:val="BodyText"/>
      </w:pPr>
      <w:r>
        <w:t xml:space="preserve">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до системи.</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авторизації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4679999" cy="4527992"/>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4679999" cy="4527992"/>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шість варіантів використання. Глядачу доступні «Перегляд трансляції» та «Авторизація через Google», у якій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 «Реєстрація» розширює авторизацію (відношення «extend») у точці розширення «перший вхід»: окремої форми реєстрації система не має, а запис користувача створюється лише тоді, коли підтверджений Google обліковий запис ще не пов’язаний із жодним користувачем. Наступні входи завершуються без реєстрації, тому вона є умовним доповненням авторизації, а не обов’язковим включенням «include». Вхід не включено й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Узагальнений перелік функціональних вимог наведено в табл. 1.3. Кожну вимогу позначено кодом, за яким її простежено під час проєктування, реалізації та тестування,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[22] (сценарії 1.1 – 1.6). Назви кнопок у сценаріях наведено так, як їх показує інтерфейс системи.</w:t>
      </w:r>
    </w:p>
    <w:p>
      <w:pPr>
        <w:pStyle w:val="ScenarioCaption"/>
      </w:pPr>
      <w:r>
        <w:t xml:space="preserve">Сценарій 1.1 – Авторизація через Google</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увійшов до системи як зареєстрований користувач і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глядача на сторінку входу. Повернення до п. 3.</w:t>
      </w:r>
    </w:p>
    <w:p>
      <w:pPr>
        <w:pStyle w:val="Scenario"/>
      </w:pPr>
      <w:r>
        <w:t xml:space="preserve">6а. Обліковий запис Google ще не пов’язаний із жодним користувачем (точка розширення «перший вхід»).</w:t>
      </w:r>
    </w:p>
    <w:p>
      <w:pPr>
        <w:pStyle w:val="ScenarioLast"/>
      </w:pPr>
      <w:r>
        <w:t xml:space="preserve">6а.1. Варіант використання «Реєстрація». Перехід до п. 7.</w:t>
      </w:r>
    </w:p>
    <w:p>
      <w:pPr>
        <w:pStyle w:val="ScenarioCaption"/>
      </w:pPr>
      <w:r>
        <w:t xml:space="preserve">Сценарій 1.2 – Реєстрація</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створено запис користувача, пов’язаний з обліковим записом Google.</w:t>
      </w:r>
    </w:p>
    <w:p>
      <w:pPr>
        <w:pStyle w:val="Scenario"/>
      </w:pPr>
      <w:r>
        <w:rPr>
          <w:b/>
          <w:bCs/>
        </w:rPr>
        <w:t xml:space="preserve">Тригер:</w:t>
      </w:r>
      <w:r>
        <w:t xml:space="preserve"> </w:t>
      </w:r>
      <w:r>
        <w:t xml:space="preserve">підтверджений Google обліковий запис не пов’язаний із жодним користувачем.</w:t>
      </w:r>
    </w:p>
    <w:p>
      <w:pPr>
        <w:pStyle w:val="Scenario"/>
      </w:pPr>
      <w:r>
        <w:rPr>
          <w:b/>
          <w:bCs/>
        </w:rPr>
        <w:t xml:space="preserve">Основний успішний сценарій:</w:t>
      </w:r>
    </w:p>
    <w:p>
      <w:pPr>
        <w:pStyle w:val="Scenario"/>
      </w:pPr>
      <w:r>
        <w:t xml:space="preserve">1. Система отримує від Google ім’я, адресу електронної пошти та зображення профілю глядача.</w:t>
      </w:r>
    </w:p>
    <w:p>
      <w:pPr>
        <w:pStyle w:val="Scenario"/>
      </w:pPr>
      <w:r>
        <w:t xml:space="preserve">2. Система перевіряє, що користувача з такою адресою електронної пошти не існує.</w:t>
      </w:r>
    </w:p>
    <w:p>
      <w:pPr>
        <w:pStyle w:val="Scenario"/>
      </w:pPr>
      <w:r>
        <w:t xml:space="preserve">3. Система створює запис користувача з роллю зареєстрованого користувача.</w:t>
      </w:r>
    </w:p>
    <w:p>
      <w:pPr>
        <w:pStyle w:val="Scenario"/>
      </w:pPr>
      <w:r>
        <w:t xml:space="preserve">4. Система зберігає зв’язок запису користувача з обліковим записом Google і повертається до п. 7 сценарію 1.1.</w:t>
      </w:r>
    </w:p>
    <w:p>
      <w:pPr>
        <w:pStyle w:val="Scenario"/>
      </w:pPr>
      <w:r>
        <w:rPr>
          <w:b/>
          <w:bCs/>
        </w:rPr>
        <w:t xml:space="preserve">Альтернативні сценарії:</w:t>
      </w:r>
    </w:p>
    <w:p>
      <w:pPr>
        <w:pStyle w:val="Scenario"/>
      </w:pPr>
      <w:r>
        <w:t xml:space="preserve">2а. Користувач із такою адресою електронної пошти вже існує, але не пов’язаний із цим обліковим записом Google.</w:t>
      </w:r>
    </w:p>
    <w:p>
      <w:pPr>
        <w:pStyle w:val="ScenarioLast"/>
      </w:pPr>
      <w:r>
        <w:t xml:space="preserve">2а.1. Система відмовляє у вході та повертає глядача на сторінку входу.</w:t>
      </w:r>
    </w:p>
    <w:p>
      <w:pPr>
        <w:pStyle w:val="ScenarioCaption"/>
      </w:pPr>
      <w:r>
        <w:t xml:space="preserve">Сценарій 1.3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1.4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1.5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1.4.</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1.6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1.5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[23];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Автоматичне оновлення підключено лише для Windows і Linux; збірку для macOS не підписано, і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рекомендує RFC 8252 [24, 25]; вхід Google через вбудовані вебперегляди заблоковано [26].</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шість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планування, проєктування та реалізації системи.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1.6).</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шести варіантів використання підраховано за їхніми сценаріями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259"/>
        <w:gridCol w:w="2090"/>
        <w:gridCol w:w="1590"/>
        <w:gridCol w:w="982"/>
      </w:tblGrid>
      <w:tr>
        <w:trPr>
          <w:tblHeader w:val="on"/>
        </w:trPr>
        <w:tc>
          <w:tcPr>
            <w:tcW w:w="5259" w:type="dxa"/>
          </w:tcPr>
          <w:p>
            <w:pPr>
              <w:pStyle w:val="Compact"/>
              <w:jc w:val="center"/>
            </w:pPr>
            <w:r>
              <w:t xml:space="preserve">Варіант використання</w:t>
            </w:r>
          </w:p>
        </w:tc>
        <w:tc>
          <w:tcPr>
            <w:tcW w:w="2090" w:type="dxa"/>
          </w:tcPr>
          <w:p>
            <w:pPr>
              <w:pStyle w:val="Compact"/>
              <w:jc w:val="center"/>
            </w:pPr>
            <w:r>
              <w:t xml:space="preserve">Транзакцій</w:t>
            </w:r>
          </w:p>
        </w:tc>
        <w:tc>
          <w:tcPr>
            <w:tcW w:w="1590" w:type="dxa"/>
          </w:tcPr>
          <w:p>
            <w:pPr>
              <w:pStyle w:val="Compact"/>
              <w:jc w:val="center"/>
            </w:pPr>
            <w:r>
              <w:t xml:space="preserve">Тип</w:t>
            </w:r>
          </w:p>
        </w:tc>
        <w:tc>
          <w:tcPr>
            <w:tcW w:w="982" w:type="dxa"/>
          </w:tcPr>
          <w:p>
            <w:pPr>
              <w:pStyle w:val="Compact"/>
              <w:jc w:val="center"/>
            </w:pPr>
            <w:r>
              <w:t xml:space="preserve">Вага</w:t>
            </w:r>
          </w:p>
        </w:tc>
      </w:tr>
      <w:tr>
        <w:tc>
          <w:tcPr>
            <w:tcW w:w="5259" w:type="dxa"/>
          </w:tcPr>
          <w:p>
            <w:pPr>
              <w:pStyle w:val="Compact"/>
            </w:pPr>
            <w:r>
              <w:t xml:space="preserve">Авторизація через Google</w:t>
            </w:r>
          </w:p>
        </w:tc>
        <w:tc>
          <w:tcPr>
            <w:tcW w:w="2090" w:type="dxa"/>
          </w:tcPr>
          <w:p>
            <w:pPr>
              <w:pStyle w:val="Compact"/>
            </w:pPr>
            <w:r>
              <w:t xml:space="preserve">7 + 4 = 11</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Реєстрація</w:t>
            </w:r>
          </w:p>
        </w:tc>
        <w:tc>
          <w:tcPr>
            <w:tcW w:w="2090" w:type="dxa"/>
          </w:tcPr>
          <w:p>
            <w:pPr>
              <w:pStyle w:val="Compact"/>
            </w:pPr>
            <w:r>
              <w:t xml:space="preserve">4 + 1 = 5</w:t>
            </w:r>
          </w:p>
        </w:tc>
        <w:tc>
          <w:tcPr>
            <w:tcW w:w="1590" w:type="dxa"/>
          </w:tcPr>
          <w:p>
            <w:pPr>
              <w:pStyle w:val="Compact"/>
            </w:pPr>
            <w:r>
              <w:t xml:space="preserve">середній</w:t>
            </w:r>
          </w:p>
        </w:tc>
        <w:tc>
          <w:tcPr>
            <w:tcW w:w="982" w:type="dxa"/>
          </w:tcPr>
          <w:p>
            <w:pPr>
              <w:pStyle w:val="Compact"/>
            </w:pPr>
            <w:r>
              <w:t xml:space="preserve">10</w:t>
            </w:r>
          </w:p>
        </w:tc>
      </w:tr>
      <w:tr>
        <w:tc>
          <w:tcPr>
            <w:tcW w:w="5259" w:type="dxa"/>
          </w:tcPr>
          <w:p>
            <w:pPr>
              <w:pStyle w:val="Compact"/>
            </w:pPr>
            <w:r>
              <w:t xml:space="preserve">Трансляція у браузері</w:t>
            </w:r>
          </w:p>
        </w:tc>
        <w:tc>
          <w:tcPr>
            <w:tcW w:w="2090" w:type="dxa"/>
          </w:tcPr>
          <w:p>
            <w:pPr>
              <w:pStyle w:val="Compact"/>
            </w:pPr>
            <w:r>
              <w:t xml:space="preserve">9 + 3 = 12</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Трансляція окремого застосунку</w:t>
            </w:r>
          </w:p>
        </w:tc>
        <w:tc>
          <w:tcPr>
            <w:tcW w:w="2090" w:type="dxa"/>
          </w:tcPr>
          <w:p>
            <w:pPr>
              <w:pStyle w:val="Compact"/>
            </w:pPr>
            <w:r>
              <w:t xml:space="preserve">10 + 4 = 14</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Перегляд трансляції</w:t>
            </w:r>
          </w:p>
        </w:tc>
        <w:tc>
          <w:tcPr>
            <w:tcW w:w="2090" w:type="dxa"/>
          </w:tcPr>
          <w:p>
            <w:pPr>
              <w:pStyle w:val="Compact"/>
            </w:pPr>
            <w:r>
              <w:t xml:space="preserve">6 + 4 = 10</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Завершення трансляції</w:t>
            </w:r>
          </w:p>
        </w:tc>
        <w:tc>
          <w:tcPr>
            <w:tcW w:w="2090" w:type="dxa"/>
          </w:tcPr>
          <w:p>
            <w:pPr>
              <w:pStyle w:val="Compact"/>
            </w:pPr>
            <w:r>
              <w:t xml:space="preserve">5 + 3 = 8</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Разом</w:t>
            </w:r>
          </w:p>
        </w:tc>
        <w:tc>
          <w:tcPr>
            <w:tcW w:w="2090" w:type="dxa"/>
          </w:tcPr>
          <w:p>
            <w:pPr>
              <w:pStyle w:val="Compact"/>
            </w:pPr>
            <w:r>
              <w:t xml:space="preserve">–</w:t>
            </w:r>
          </w:p>
        </w:tc>
        <w:tc>
          <w:tcPr>
            <w:tcW w:w="1590" w:type="dxa"/>
          </w:tcPr>
          <w:p>
            <w:pPr>
              <w:pStyle w:val="Compact"/>
            </w:pPr>
            <w:r>
              <w:t xml:space="preserve">–</w:t>
            </w:r>
          </w:p>
        </w:tc>
        <w:tc>
          <w:tcPr>
            <w:tcW w:w="982" w:type="dxa"/>
          </w:tcPr>
          <w:p>
            <w:pPr>
              <w:pStyle w:val="Compact"/>
            </w:pPr>
            <w:r>
              <w:t xml:space="preserve">85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85</m:t>
        </m:r>
        <m:r>
          <m:rPr>
            <m:sty m:val="p"/>
          </m:rPr>
          <m:t>=</m:t>
        </m:r>
        <m:r>
          <m:t>93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4"/>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93</m:t>
        </m:r>
        <m:r>
          <m:rPr>
            <m:sty m:val="p"/>
          </m:rPr>
          <m:t>⋅</m:t>
        </m:r>
        <m:r>
          <m:t>1</m:t>
        </m:r>
        <m:r>
          <m:rPr>
            <m:sty m:val="p"/>
          </m:rPr>
          <m:t>,</m:t>
        </m:r>
        <m:r>
          <m:t>135</m:t>
        </m:r>
        <m:r>
          <m:rPr>
            <m:sty m:val="p"/>
          </m:rPr>
          <m:t>⋅</m:t>
        </m:r>
        <m:r>
          <m:t>1</m:t>
        </m:r>
        <m:r>
          <m:rPr>
            <m:sty m:val="p"/>
          </m:rPr>
          <m:t>,</m:t>
        </m:r>
        <m:r>
          <m:t>04</m:t>
        </m:r>
        <m:r>
          <m:rPr>
            <m:sty m:val="p"/>
          </m:rPr>
          <m:t>≈</m:t>
        </m:r>
        <m:r>
          <m:t>109</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109</m:t>
        </m:r>
        <m:r>
          <m:rPr>
            <m:sty m:val="p"/>
          </m:rPr>
          <m:t>,</m:t>
        </m:r>
        <m:r>
          <m:t>78</m:t>
        </m:r>
        <m:r>
          <m:rPr>
            <m:sty m:val="p"/>
          </m:rPr>
          <m:t>≈</m:t>
        </m:r>
        <m:r>
          <m:t>3074</m:t>
        </m:r>
      </m:oMath>
      <w:r>
        <w:t xml:space="preserve"> </w:t>
      </w:r>
      <w:r>
        <w:t xml:space="preserve">люд.-год.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шести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6"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6"/>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Роботи на діаграмі Ганта (рис. 2.1) згруповано в етапи: розробка вебсервісу (1–4), настільного застосунку (5–8), тестування й документування (9).</w:t>
      </w:r>
    </w:p>
    <w:bookmarkStart w:id="40" w:name="fig:gantt"/>
    <w:p>
      <w:pPr>
        <w:pStyle w:val="CaptionedFigure"/>
      </w:pPr>
      <w:r>
        <w:drawing>
          <wp:inline>
            <wp:extent cx="5759999" cy="2411942"/>
            <wp:effectExtent b="0" l="0" r="0" t="0"/>
            <wp:docPr descr="Діаграма Ганта проєкту"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40"/>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[24, 26] усунуто в роботі 6, R3 і R4 – у роботах 5 і 7, R8 і R9 – планом робіт 5–8.</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109</m:t>
        </m:r>
        <m:r>
          <m:rPr>
            <m:sty m:val="p"/>
          </m:rPr>
          <m:t>,</m:t>
        </m:r>
        <m:r>
          <m:t>8</m:t>
        </m:r>
      </m:oMath>
      <w:r>
        <w:t xml:space="preserve">, або близько 3074 люд.-год. Дев’ять робіт виконуються з 27.05 до 25.09.2026, критична – захоплення окремих застосунків; заходи щодо ключових ризиків реалізовано в коді.</w:t>
      </w:r>
    </w:p>
    <w:bookmarkEnd w:id="44"/>
    <w:bookmarkEnd w:id="45"/>
    <w:bookmarkStart w:id="106"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5"/>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8–9 сценарію 1.4, які використовує й сценарій 1.5.</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1.3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7"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4679999" cy="6510277"/>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6"/>
    <w:bookmarkStart w:id="86"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80" w:name="fig:er"/>
    <w:p>
      <w:pPr>
        <w:pStyle w:val="CaptionedFigure"/>
      </w:pPr>
      <w:r>
        <w:drawing>
          <wp:inline>
            <wp:extent cx="4679999" cy="4514735"/>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1"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1"/>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2"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2"/>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3"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3"/>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4"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4"/>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5"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5"/>
    <w:bookmarkEnd w:id="86"/>
    <w:bookmarkStart w:id="95"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90" w:name="fig:classes-signaling"/>
    <w:p>
      <w:pPr>
        <w:pStyle w:val="CaptionedFigure"/>
      </w:pPr>
      <w:r>
        <w:drawing>
          <wp:inline>
            <wp:extent cx="5759999" cy="7287851"/>
            <wp:effectExtent b="0" l="0" r="0" t="0"/>
            <wp:docPr descr="Діаграма класів сервера сигналізації" title="" id="88" name="Picture"/>
            <a:graphic>
              <a:graphicData uri="http://schemas.openxmlformats.org/drawingml/2006/picture">
                <pic:pic>
                  <pic:nvPicPr>
                    <pic:cNvPr descr="../diagrams/fig-classes-signaling.png" id="89" name="Picture"/>
                    <pic:cNvPicPr>
                      <a:picLocks noChangeArrowheads="1" noChangeAspect="1"/>
                    </pic:cNvPicPr>
                  </pic:nvPicPr>
                  <pic:blipFill>
                    <a:blip r:embed="rId87"/>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90"/>
    <w:p>
      <w:pPr>
        <w:pStyle w:val="BodyText"/>
        <w:spacing w:before="480"/>
      </w:pPr>
      <w:r>
        <w:t xml:space="preserve">Контролери реєструють маршрути Fastify: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і не має прямого доступу до API Node.js та Electron. Шар міжпроцесної взаємодії (у коді – conveyor) наведено на рис. 3.10.</w:t>
      </w:r>
    </w:p>
    <w:bookmarkStart w:id="94"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2" name="Picture"/>
            <a:graphic>
              <a:graphicData uri="http://schemas.openxmlformats.org/drawingml/2006/picture">
                <pic:pic>
                  <pic:nvPicPr>
                    <pic:cNvPr descr="../diagrams/fig-classes-conveyor.png" id="93" name="Picture"/>
                    <pic:cNvPicPr>
                      <a:picLocks noChangeArrowheads="1" noChangeAspect="1"/>
                    </pic:cNvPicPr>
                  </pic:nvPicPr>
                  <pic:blipFill>
                    <a:blip r:embed="rId91"/>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4"/>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[28], який передає дані сторінці напряму через пару портів повідомлень.</w:t>
      </w:r>
    </w:p>
    <w:bookmarkEnd w:id="95"/>
    <w:bookmarkStart w:id="104"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9" w:name="fig:ui-broadcast"/>
    <w:p>
      <w:pPr>
        <w:pStyle w:val="CaptionedFigure"/>
      </w:pPr>
      <w:r>
        <w:drawing>
          <wp:inline>
            <wp:extent cx="5759999" cy="1931851"/>
            <wp:effectExtent b="0" l="0" r="0" t="0"/>
            <wp:docPr descr="Макет сторінки трансляції" title="" id="97" name="Picture"/>
            <a:graphic>
              <a:graphicData uri="http://schemas.openxmlformats.org/drawingml/2006/picture">
                <pic:pic>
                  <pic:nvPicPr>
                    <pic:cNvPr descr="../diagrams/fig-ui-broadcast.png" id="98" name="Picture"/>
                    <pic:cNvPicPr>
                      <a:picLocks noChangeArrowheads="1" noChangeAspect="1"/>
                    </pic:cNvPicPr>
                  </pic:nvPicPr>
                  <pic:blipFill>
                    <a:blip r:embed="rId96"/>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9"/>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103" w:name="fig:ui-watch"/>
    <w:p>
      <w:pPr>
        <w:pStyle w:val="CaptionedFigure"/>
      </w:pPr>
      <w:r>
        <w:drawing>
          <wp:inline>
            <wp:extent cx="4319999" cy="1635672"/>
            <wp:effectExtent b="0" l="0" r="0" t="0"/>
            <wp:docPr descr="Макет сторінки перегляду трансляції" title="" id="101" name="Picture"/>
            <a:graphic>
              <a:graphicData uri="http://schemas.openxmlformats.org/drawingml/2006/picture">
                <pic:pic>
                  <pic:nvPicPr>
                    <pic:cNvPr descr="../diagrams/fig-ui-watch.png" id="102" name="Picture"/>
                    <pic:cNvPicPr>
                      <a:picLocks noChangeArrowheads="1" noChangeAspect="1"/>
                    </pic:cNvPicPr>
                  </pic:nvPicPr>
                  <pic:blipFill>
                    <a:blip r:embed="rId100"/>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3"/>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104"/>
    <w:bookmarkStart w:id="105"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програмної реалізації системи.</w:t>
      </w:r>
    </w:p>
    <w:bookmarkEnd w:id="105"/>
    <w:bookmarkEnd w:id="106"/>
    <w:bookmarkStart w:id="135" w:name="програмна-реалізація-системи"/>
    <w:p>
      <w:pPr>
        <w:pStyle w:val="Heading1"/>
      </w:pPr>
      <w:r>
        <w:t xml:space="preserve">4 ПРОГРАМНА РЕАЛІЗАЦІЯ СИСТЕМИ</w:t>
      </w:r>
    </w:p>
    <w:bookmarkStart w:id="108"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7"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7"/>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8"/>
    <w:bookmarkStart w:id="116"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9"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9"/>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10"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10"/>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11"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11"/>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5"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3" name="Picture"/>
            <a:graphic>
              <a:graphicData uri="http://schemas.openxmlformats.org/drawingml/2006/picture">
                <pic:pic>
                  <pic:nvPicPr>
                    <pic:cNvPr descr="../diagrams/fig-capture-pipeline.png" id="114" name="Picture"/>
                    <pic:cNvPicPr>
                      <a:picLocks noChangeArrowheads="1" noChangeAspect="1"/>
                    </pic:cNvPicPr>
                  </pic:nvPicPr>
                  <pic:blipFill>
                    <a:blip r:embed="rId112"/>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5"/>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6"/>
    <w:bookmarkStart w:id="122"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7"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7"/>
    <w:p>
      <w:pPr>
        <w:pStyle w:val="FirstParagraph"/>
        <w:spacing w:before="480"/>
      </w:pPr>
      <w:r>
        <w:t xml:space="preserve">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8"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8"/>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9"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9"/>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20"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20"/>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21"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21"/>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22"/>
    <w:bookmarkStart w:id="126"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3"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3"/>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4"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4"/>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5"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5"/>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6"/>
    <w:bookmarkStart w:id="128"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7"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7"/>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8"/>
    <w:bookmarkStart w:id="133"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відповідно до архітектури системи.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Компонент ThemeProvider бібліотеки next-themes перемикає тему класом кореневого елемента й типово обирає її за налаштуванням операційної системи;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32" w:name="fig:scr-home-themes"/>
    <w:p>
      <w:pPr>
        <w:pStyle w:val="CaptionedFigure"/>
      </w:pPr>
      <w:r>
        <w:drawing>
          <wp:inline>
            <wp:extent cx="5759999" cy="2035530"/>
            <wp:effectExtent b="0" l="0" r="0" t="0"/>
            <wp:docPr descr="Головна сторінка вебзастосунку: а – світла тема; б – темна тема" title="" id="130" name="Picture"/>
            <a:graphic>
              <a:graphicData uri="http://schemas.openxmlformats.org/drawingml/2006/picture">
                <pic:pic>
                  <pic:nvPicPr>
                    <pic:cNvPr descr="../screenshots/scr-home-themes.png" id="131" name="Picture"/>
                    <pic:cNvPicPr>
                      <a:picLocks noChangeArrowheads="1" noChangeAspect="1"/>
                    </pic:cNvPicPr>
                  </pic:nvPicPr>
                  <pic:blipFill>
                    <a:blip r:embed="rId129"/>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32"/>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для випуску GitHub. Автоматичне оновлення, як і передбачено нефункціональними вимогами, працює лише у Windows і Linux.</w:t>
      </w:r>
    </w:p>
    <w:bookmarkEnd w:id="133"/>
    <w:bookmarkStart w:id="134"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4"/>
    <w:bookmarkEnd w:id="135"/>
    <w:bookmarkStart w:id="145" w:name="тестування-програмної-системи"/>
    <w:p>
      <w:pPr>
        <w:pStyle w:val="Heading1"/>
      </w:pPr>
      <w:r>
        <w:t xml:space="preserve">5 ТЕСТУВАННЯ ПРОГРАМНОЇ СИСТЕМИ</w:t>
      </w:r>
    </w:p>
    <w:bookmarkStart w:id="137"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1.6.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6"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6"/>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7"/>
    <w:bookmarkStart w:id="139"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8"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8"/>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на яку посилається сторінка входу, для анонімного відвідувача переспрямовує на вхід, що відповідає ФВ-04, але робить правові сторінки недоступними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потоку 1.4 виконується повністю: маршрутизатор пропонує кодеки в порядку лістингу 4.5, публікація останнього потоку переводить трансляцію в стан live, мініатюру змінює лише власник.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перелік джерел, звук застосунку і слідування в реальному застосунку перевіряються вручну у Windows.</w:t>
      </w:r>
    </w:p>
    <w:p>
      <w:pPr>
        <w:pStyle w:val="BodyText"/>
      </w:pPr>
      <w:r>
        <w:t xml:space="preserve">Приклади перегляду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9"/>
    <w:bookmarkStart w:id="141"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5.3.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40"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40"/>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41"/>
    <w:bookmarkStart w:id="143"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наведено в табл. 5.4 разом із дефектами, виявленими під час функціонального та нефункціонального тестування.</w:t>
      </w:r>
    </w:p>
    <w:bookmarkStart w:id="142"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42"/>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передбачено повторну ручну перевірку.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Ручні перевірки входу через Google, захоплення, відтворення й відновлення трансляції та вимірювання табл. 5.3 потребують реального обладнання та є умовою остаточної оцінки ефективності функціонування й сумісності.</w:t>
      </w:r>
    </w:p>
    <w:bookmarkEnd w:id="143"/>
    <w:bookmarkStart w:id="144" w:name="висновки-до-розділу-5"/>
    <w:p>
      <w:pPr>
        <w:pStyle w:val="Heading2"/>
      </w:pPr>
      <w:r>
        <w:t xml:space="preserve">Висновки до розділу 5</w:t>
      </w:r>
    </w:p>
    <w:p>
      <w:pPr>
        <w:pStyle w:val="FirstParagraph"/>
        <w:spacing w:before="480"/>
      </w:pPr>
      <w:r>
        <w:t xml:space="preserve">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 Статична перевірка і збирання всіх пакетів пройшли успішно, а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5.4),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вимірювань продуктивності має надати автор роботи.</w:t>
      </w:r>
    </w:p>
    <w:bookmarkEnd w:id="144"/>
    <w:bookmarkEnd w:id="145"/>
    <w:bookmarkStart w:id="174" w:name="експлуатація-програмної-системи"/>
    <w:p>
      <w:pPr>
        <w:pStyle w:val="Heading1"/>
      </w:pPr>
      <w:r>
        <w:t xml:space="preserve">6 ЕКСПЛУАТАЦІЯ ПРОГРАМНОЇ СИСТЕМИ</w:t>
      </w:r>
    </w:p>
    <w:bookmarkStart w:id="170"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1.5, 1.3 та 1.6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9"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7" name="Picture"/>
            <a:graphic>
              <a:graphicData uri="http://schemas.openxmlformats.org/drawingml/2006/picture">
                <pic:pic>
                  <pic:nvPicPr>
                    <pic:cNvPr descr="../screenshots/scr-download.png" id="148" name="Picture"/>
                    <pic:cNvPicPr>
                      <a:picLocks noChangeArrowheads="1" noChangeAspect="1"/>
                    </pic:cNvPicPr>
                  </pic:nvPicPr>
                  <pic:blipFill>
                    <a:blip r:embed="rId146"/>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9"/>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53"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51" name="Picture"/>
            <a:graphic>
              <a:graphicData uri="http://schemas.openxmlformats.org/drawingml/2006/picture">
                <pic:pic>
                  <pic:nvPicPr>
                    <pic:cNvPr descr="../screenshots/scr-desktop-sign-in.png" id="152" name="Picture"/>
                    <pic:cNvPicPr>
                      <a:picLocks noChangeArrowheads="1" noChangeAspect="1"/>
                    </pic:cNvPicPr>
                  </pic:nvPicPr>
                  <pic:blipFill>
                    <a:blip r:embed="rId150"/>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53"/>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7" w:name="fig:scr-source-picker"/>
    <w:p>
      <w:pPr>
        <w:pStyle w:val="CaptionedFigure"/>
      </w:pPr>
      <w:r>
        <w:drawing>
          <wp:inline>
            <wp:extent cx="5759999" cy="1845250"/>
            <wp:effectExtent b="0" l="0" r="0" t="0"/>
            <wp:docPr descr="Вікно вибору джерела трансляції в настільному застосунку" title="" id="155" name="Picture"/>
            <a:graphic>
              <a:graphicData uri="http://schemas.openxmlformats.org/drawingml/2006/picture">
                <pic:pic>
                  <pic:nvPicPr>
                    <pic:cNvPr descr="../screenshots/scr-source-picker.png" id="156" name="Picture"/>
                    <pic:cNvPicPr>
                      <a:picLocks noChangeArrowheads="1" noChangeAspect="1"/>
                    </pic:cNvPicPr>
                  </pic:nvPicPr>
                  <pic:blipFill>
                    <a:blip r:embed="rId154"/>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7"/>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61"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9" name="Picture"/>
            <a:graphic>
              <a:graphicData uri="http://schemas.openxmlformats.org/drawingml/2006/picture">
                <pic:pic>
                  <pic:nvPicPr>
                    <pic:cNvPr descr="../screenshots/scr-broadcast-live.png" id="160" name="Picture"/>
                    <pic:cNvPicPr>
                      <a:picLocks noChangeArrowheads="1" noChangeAspect="1"/>
                    </pic:cNvPicPr>
                  </pic:nvPicPr>
                  <pic:blipFill>
                    <a:blip r:embed="rId158"/>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61"/>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5"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63" name="Picture"/>
            <a:graphic>
              <a:graphicData uri="http://schemas.openxmlformats.org/drawingml/2006/picture">
                <pic:pic>
                  <pic:nvPicPr>
                    <pic:cNvPr descr="../screenshots/scr-watch-guest.png" id="164" name="Picture"/>
                    <pic:cNvPicPr>
                      <a:picLocks noChangeArrowheads="1" noChangeAspect="1"/>
                    </pic:cNvPicPr>
                  </pic:nvPicPr>
                  <pic:blipFill>
                    <a:blip r:embed="rId162"/>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5"/>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9"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7" name="Picture"/>
            <a:graphic>
              <a:graphicData uri="http://schemas.openxmlformats.org/drawingml/2006/picture">
                <pic:pic>
                  <pic:nvPicPr>
                    <pic:cNvPr descr="../screenshots/scr-follow.png" id="168" name="Picture"/>
                    <pic:cNvPicPr>
                      <a:picLocks noChangeArrowheads="1" noChangeAspect="1"/>
                    </pic:cNvPicPr>
                  </pic:nvPicPr>
                  <pic:blipFill>
                    <a:blip r:embed="rId166"/>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9"/>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70"/>
    <w:bookmarkStart w:id="172"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71"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71"/>
    <w:p>
      <w:pPr>
        <w:pStyle w:val="BodyText"/>
        <w:spacing w:before="480"/>
      </w:pPr>
      <w:r>
        <w:t xml:space="preserve">[ПОТРЕБУЄ УТОЧНЕННЯ: висновок за табл. 6.1; факти використання сервісу, лише якщо вони є]</w:t>
      </w:r>
    </w:p>
    <w:bookmarkEnd w:id="172"/>
    <w:bookmarkStart w:id="173"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73"/>
    <w:bookmarkEnd w:id="174"/>
    <w:bookmarkStart w:id="175"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шість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109,8</w:t>
      </w:r>
      <w:r>
        <w:t xml:space="preserve"> </w:t>
      </w:r>
      <w:r>
        <w:t xml:space="preserve">точки, тобто близько 3074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75"/>
    <w:bookmarkStart w:id="177" w:name="список-використаних-джерел"/>
    <w:p>
      <w:pPr>
        <w:pStyle w:val="Heading1"/>
      </w:pPr>
      <w:r>
        <w:t xml:space="preserve">СПИСОК ВИКОРИСТАНИХ ДЖЕРЕЛ</w:t>
      </w:r>
    </w:p>
    <w:bookmarkStart w:id="176"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76"/>
    <w:bookmarkEnd w:id="177"/>
    <w:bookmarkStart w:id="183"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8"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8"/>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9"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9"/>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80"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80"/>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81"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81"/>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82"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82"/>
    <w:bookmarkEnd w:id="183"/>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12" Type="http://schemas.openxmlformats.org/officeDocument/2006/relationships/image" Target="media/rId112.png"/><Relationship Id="rId91" Type="http://schemas.openxmlformats.org/officeDocument/2006/relationships/image" Target="media/rId91.png"/><Relationship Id="rId87" Type="http://schemas.openxmlformats.org/officeDocument/2006/relationships/image" Target="media/rId87.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6" Type="http://schemas.openxmlformats.org/officeDocument/2006/relationships/image" Target="media/rId96.png"/><Relationship Id="rId100" Type="http://schemas.openxmlformats.org/officeDocument/2006/relationships/image" Target="media/rId100.png"/><Relationship Id="rId21" Type="http://schemas.openxmlformats.org/officeDocument/2006/relationships/image" Target="media/rId21.png"/><Relationship Id="rId158" Type="http://schemas.openxmlformats.org/officeDocument/2006/relationships/image" Target="media/rId158.png"/><Relationship Id="rId150" Type="http://schemas.openxmlformats.org/officeDocument/2006/relationships/image" Target="media/rId150.png"/><Relationship Id="rId146" Type="http://schemas.openxmlformats.org/officeDocument/2006/relationships/image" Target="media/rId146.png"/><Relationship Id="rId166" Type="http://schemas.openxmlformats.org/officeDocument/2006/relationships/image" Target="media/rId166.png"/><Relationship Id="rId129" Type="http://schemas.openxmlformats.org/officeDocument/2006/relationships/image" Target="media/rId129.png"/><Relationship Id="rId154" Type="http://schemas.openxmlformats.org/officeDocument/2006/relationships/image" Target="media/rId154.png"/><Relationship Id="rId162" Type="http://schemas.openxmlformats.org/officeDocument/2006/relationships/image" Target="media/rId162.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2026-10-07T07:37:15Z</dcterms:created>
  <dcterms:modified xsi:type="dcterms:W3CDTF">2026-10-07T07:37:15Z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