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цей протокол описано під час проєктування системи.</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w:t>
      </w:r>
    </w:p>
    <w:p>
      <w:pPr>
        <w:pStyle w:val="BodyText"/>
      </w:pPr>
      <w:r>
        <w:t xml:space="preserve">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до системи.</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авторизації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4679999" cy="4527992"/>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4679999" cy="4527992"/>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шість варіантів використання. Глядачу доступні «Перегляд трансляції» та «Авторизація через Google», у якій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 «Реєстрація» розширює авторизацію (відношення «extend») у точці розширення «перший вхід»: окремої форми реєстрації система не має, а запис користувача створюється лише тоді, коли підтверджений Google обліковий запис ще не пов’язаний із жодним користувачем. Наступні входи завершуються без реєстрації, тому вона є умовним доповненням авторизації, а не обов’язковим включенням «include». Вхід не включено й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Узагальнений перелік функціональних вимог наведено в табл. 1.3. Кожну вимогу позначено кодом, за яким її простежено під час проєктування, реалізації та тестування,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[22] (сценарії 1.1 – 1.6). Назви кнопок у сценаріях наведено так, як їх показує інтерфейс системи.</w:t>
      </w:r>
    </w:p>
    <w:p>
      <w:pPr>
        <w:pStyle w:val="ScenarioCaption"/>
      </w:pPr>
      <w:r>
        <w:t xml:space="preserve">Сценарій 1.1 – Авторизація через Google</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увійшов до системи як зареєстрований користувач і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глядача на сторінку входу. Повернення до п. 3.</w:t>
      </w:r>
    </w:p>
    <w:p>
      <w:pPr>
        <w:pStyle w:val="Scenario"/>
      </w:pPr>
      <w:r>
        <w:t xml:space="preserve">6а. Обліковий запис Google ще не пов’язаний із жодним користувачем (точка розширення «перший вхід»).</w:t>
      </w:r>
    </w:p>
    <w:p>
      <w:pPr>
        <w:pStyle w:val="ScenarioLast"/>
      </w:pPr>
      <w:r>
        <w:t xml:space="preserve">6а.1. Варіант використання «Реєстрація». Перехід до п. 7.</w:t>
      </w:r>
    </w:p>
    <w:p>
      <w:pPr>
        <w:pStyle w:val="ScenarioCaption"/>
      </w:pPr>
      <w:r>
        <w:t xml:space="preserve">Сценарій 1.2 – Реєстрація</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створено запис користувача, пов’язаний з обліковим записом Google.</w:t>
      </w:r>
    </w:p>
    <w:p>
      <w:pPr>
        <w:pStyle w:val="Scenario"/>
      </w:pPr>
      <w:r>
        <w:rPr>
          <w:b/>
          <w:bCs/>
        </w:rPr>
        <w:t xml:space="preserve">Тригер:</w:t>
      </w:r>
      <w:r>
        <w:t xml:space="preserve"> </w:t>
      </w:r>
      <w:r>
        <w:t xml:space="preserve">підтверджений Google обліковий запис не пов’язаний із жодним користувачем.</w:t>
      </w:r>
    </w:p>
    <w:p>
      <w:pPr>
        <w:pStyle w:val="Scenario"/>
      </w:pPr>
      <w:r>
        <w:rPr>
          <w:b/>
          <w:bCs/>
        </w:rPr>
        <w:t xml:space="preserve">Основний успішний сценарій:</w:t>
      </w:r>
    </w:p>
    <w:p>
      <w:pPr>
        <w:pStyle w:val="Scenario"/>
      </w:pPr>
      <w:r>
        <w:t xml:space="preserve">1. Система отримує від Google ім’я, адресу електронної пошти та зображення профілю глядача.</w:t>
      </w:r>
    </w:p>
    <w:p>
      <w:pPr>
        <w:pStyle w:val="Scenario"/>
      </w:pPr>
      <w:r>
        <w:t xml:space="preserve">2. Система перевіряє, що користувача з такою адресою електронної пошти не існує.</w:t>
      </w:r>
    </w:p>
    <w:p>
      <w:pPr>
        <w:pStyle w:val="Scenario"/>
      </w:pPr>
      <w:r>
        <w:t xml:space="preserve">3. Система створює запис користувача з роллю зареєстрованого користувача.</w:t>
      </w:r>
    </w:p>
    <w:p>
      <w:pPr>
        <w:pStyle w:val="Scenario"/>
      </w:pPr>
      <w:r>
        <w:t xml:space="preserve">4. Система зберігає зв’язок запису користувача з обліковим записом Google і повертається до п. 7 сценарію 1.1.</w:t>
      </w:r>
    </w:p>
    <w:p>
      <w:pPr>
        <w:pStyle w:val="Scenario"/>
      </w:pPr>
      <w:r>
        <w:rPr>
          <w:b/>
          <w:bCs/>
        </w:rPr>
        <w:t xml:space="preserve">Альтернативні сценарії:</w:t>
      </w:r>
    </w:p>
    <w:p>
      <w:pPr>
        <w:pStyle w:val="Scenario"/>
      </w:pPr>
      <w:r>
        <w:t xml:space="preserve">2а. Користувач із такою адресою електронної пошти вже існує, але не пов’язаний із цим обліковим записом Google.</w:t>
      </w:r>
    </w:p>
    <w:p>
      <w:pPr>
        <w:pStyle w:val="ScenarioLast"/>
      </w:pPr>
      <w:r>
        <w:t xml:space="preserve">2а.1. Система відмовляє у вході та повертає глядача на сторінку входу.</w:t>
      </w:r>
    </w:p>
    <w:p>
      <w:pPr>
        <w:pStyle w:val="ScenarioCaption"/>
      </w:pPr>
      <w:r>
        <w:t xml:space="preserve">Сценарій 1.3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1.4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1.5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1.4.</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1.6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1.5 відрізняють систему від аналогів (табл. 1.2). Сценарії є основою для оцінювання трудомісткості та розроблення тестових прикладів.</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[23];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стримера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Автоматичне оновлення підключено лише для Windows і Linux; збірку для macOS не підписано, і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рекомендує RFC 8252 [24, 25]; вхід Google через вбудовані вебперегляди заблоковано [26].</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«Глядач» і «Стример», шість варіантів використання, кожен із яких деталізовано сценарієм, сформульовано 19 функціональних вимог і згруповано нефункціональні вимоги за моделлю ISO/IEC 25010; ця специфікація є вихідними даними для планування, проєктування та реалізації системи.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[27]. Вихідними даними методу є модель варіантів використання (рис. 1.2) та їхні сценарії (сценарії 1.1 – 1.6).</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кожного з шести варіантів використання підраховано за їхніми сценаріями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259"/>
        <w:gridCol w:w="2090"/>
        <w:gridCol w:w="1590"/>
        <w:gridCol w:w="982"/>
      </w:tblGrid>
      <w:tr>
        <w:trPr>
          <w:tblHeader w:val="on"/>
        </w:trPr>
        <w:tc>
          <w:tcPr>
            <w:tcW w:w="5259" w:type="dxa"/>
          </w:tcPr>
          <w:p>
            <w:pPr>
              <w:pStyle w:val="Compact"/>
              <w:jc w:val="center"/>
            </w:pPr>
            <w:r>
              <w:t xml:space="preserve">Варіант використання</w:t>
            </w:r>
          </w:p>
        </w:tc>
        <w:tc>
          <w:tcPr>
            <w:tcW w:w="2090" w:type="dxa"/>
          </w:tcPr>
          <w:p>
            <w:pPr>
              <w:pStyle w:val="Compact"/>
              <w:jc w:val="center"/>
            </w:pPr>
            <w:r>
              <w:t xml:space="preserve">Транзакцій</w:t>
            </w:r>
          </w:p>
        </w:tc>
        <w:tc>
          <w:tcPr>
            <w:tcW w:w="1590" w:type="dxa"/>
          </w:tcPr>
          <w:p>
            <w:pPr>
              <w:pStyle w:val="Compact"/>
              <w:jc w:val="center"/>
            </w:pPr>
            <w:r>
              <w:t xml:space="preserve">Тип</w:t>
            </w:r>
          </w:p>
        </w:tc>
        <w:tc>
          <w:tcPr>
            <w:tcW w:w="982" w:type="dxa"/>
          </w:tcPr>
          <w:p>
            <w:pPr>
              <w:pStyle w:val="Compact"/>
              <w:jc w:val="center"/>
            </w:pPr>
            <w:r>
              <w:t xml:space="preserve">Вага</w:t>
            </w:r>
          </w:p>
        </w:tc>
      </w:tr>
      <w:tr>
        <w:tc>
          <w:tcPr>
            <w:tcW w:w="5259" w:type="dxa"/>
          </w:tcPr>
          <w:p>
            <w:pPr>
              <w:pStyle w:val="Compact"/>
            </w:pPr>
            <w:r>
              <w:t xml:space="preserve">Авторизація через Google</w:t>
            </w:r>
          </w:p>
        </w:tc>
        <w:tc>
          <w:tcPr>
            <w:tcW w:w="2090" w:type="dxa"/>
          </w:tcPr>
          <w:p>
            <w:pPr>
              <w:pStyle w:val="Compact"/>
            </w:pPr>
            <w:r>
              <w:t xml:space="preserve">7 + 4 = 11</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Реєстрація</w:t>
            </w:r>
          </w:p>
        </w:tc>
        <w:tc>
          <w:tcPr>
            <w:tcW w:w="2090" w:type="dxa"/>
          </w:tcPr>
          <w:p>
            <w:pPr>
              <w:pStyle w:val="Compact"/>
            </w:pPr>
            <w:r>
              <w:t xml:space="preserve">4 + 1 = 5</w:t>
            </w:r>
          </w:p>
        </w:tc>
        <w:tc>
          <w:tcPr>
            <w:tcW w:w="1590" w:type="dxa"/>
          </w:tcPr>
          <w:p>
            <w:pPr>
              <w:pStyle w:val="Compact"/>
            </w:pPr>
            <w:r>
              <w:t xml:space="preserve">середній</w:t>
            </w:r>
          </w:p>
        </w:tc>
        <w:tc>
          <w:tcPr>
            <w:tcW w:w="982" w:type="dxa"/>
          </w:tcPr>
          <w:p>
            <w:pPr>
              <w:pStyle w:val="Compact"/>
            </w:pPr>
            <w:r>
              <w:t xml:space="preserve">10</w:t>
            </w:r>
          </w:p>
        </w:tc>
      </w:tr>
      <w:tr>
        <w:tc>
          <w:tcPr>
            <w:tcW w:w="5259" w:type="dxa"/>
          </w:tcPr>
          <w:p>
            <w:pPr>
              <w:pStyle w:val="Compact"/>
            </w:pPr>
            <w:r>
              <w:t xml:space="preserve">Трансляція у браузері</w:t>
            </w:r>
          </w:p>
        </w:tc>
        <w:tc>
          <w:tcPr>
            <w:tcW w:w="2090" w:type="dxa"/>
          </w:tcPr>
          <w:p>
            <w:pPr>
              <w:pStyle w:val="Compact"/>
            </w:pPr>
            <w:r>
              <w:t xml:space="preserve">9 + 3 = 12</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Трансляція окремого застосунку</w:t>
            </w:r>
          </w:p>
        </w:tc>
        <w:tc>
          <w:tcPr>
            <w:tcW w:w="2090" w:type="dxa"/>
          </w:tcPr>
          <w:p>
            <w:pPr>
              <w:pStyle w:val="Compact"/>
            </w:pPr>
            <w:r>
              <w:t xml:space="preserve">10 + 4 = 14</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Перегляд трансляції</w:t>
            </w:r>
          </w:p>
        </w:tc>
        <w:tc>
          <w:tcPr>
            <w:tcW w:w="2090" w:type="dxa"/>
          </w:tcPr>
          <w:p>
            <w:pPr>
              <w:pStyle w:val="Compact"/>
            </w:pPr>
            <w:r>
              <w:t xml:space="preserve">6 + 4 = 10</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Завершення трансляції</w:t>
            </w:r>
          </w:p>
        </w:tc>
        <w:tc>
          <w:tcPr>
            <w:tcW w:w="2090" w:type="dxa"/>
          </w:tcPr>
          <w:p>
            <w:pPr>
              <w:pStyle w:val="Compact"/>
            </w:pPr>
            <w:r>
              <w:t xml:space="preserve">5 + 3 = 8</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Разом</w:t>
            </w:r>
          </w:p>
        </w:tc>
        <w:tc>
          <w:tcPr>
            <w:tcW w:w="2090" w:type="dxa"/>
          </w:tcPr>
          <w:p>
            <w:pPr>
              <w:pStyle w:val="Compact"/>
            </w:pPr>
            <w:r>
              <w:t xml:space="preserve">–</w:t>
            </w:r>
          </w:p>
        </w:tc>
        <w:tc>
          <w:tcPr>
            <w:tcW w:w="1590" w:type="dxa"/>
          </w:tcPr>
          <w:p>
            <w:pPr>
              <w:pStyle w:val="Compact"/>
            </w:pPr>
            <w:r>
              <w:t xml:space="preserve">–</w:t>
            </w:r>
          </w:p>
        </w:tc>
        <w:tc>
          <w:tcPr>
            <w:tcW w:w="982" w:type="dxa"/>
          </w:tcPr>
          <w:p>
            <w:pPr>
              <w:pStyle w:val="Compact"/>
            </w:pPr>
            <w:r>
              <w:t xml:space="preserve">85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85</m:t>
        </m:r>
        <m:r>
          <m:rPr>
            <m:sty m:val="p"/>
          </m:rPr>
          <m:t>=</m:t>
        </m:r>
        <m:r>
          <m:t>93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4"/>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93</m:t>
        </m:r>
        <m:r>
          <m:rPr>
            <m:sty m:val="p"/>
          </m:rPr>
          <m:t>⋅</m:t>
        </m:r>
        <m:r>
          <m:t>1</m:t>
        </m:r>
        <m:r>
          <m:rPr>
            <m:sty m:val="p"/>
          </m:rPr>
          <m:t>,</m:t>
        </m:r>
        <m:r>
          <m:t>135</m:t>
        </m:r>
        <m:r>
          <m:rPr>
            <m:sty m:val="p"/>
          </m:rPr>
          <m:t>⋅</m:t>
        </m:r>
        <m:r>
          <m:t>1</m:t>
        </m:r>
        <m:r>
          <m:rPr>
            <m:sty m:val="p"/>
          </m:rPr>
          <m:t>,</m:t>
        </m:r>
        <m:r>
          <m:t>04</m:t>
        </m:r>
        <m:r>
          <m:rPr>
            <m:sty m:val="p"/>
          </m:rPr>
          <m:t>≈</m:t>
        </m:r>
        <m:r>
          <m:t>109</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[27].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109</m:t>
        </m:r>
        <m:r>
          <m:rPr>
            <m:sty m:val="p"/>
          </m:rPr>
          <m:t>,</m:t>
        </m:r>
        <m:r>
          <m:t>78</m:t>
        </m:r>
        <m:r>
          <m:rPr>
            <m:sty m:val="p"/>
          </m:rPr>
          <m:t>≈</m:t>
        </m:r>
        <m:r>
          <m:t>3074</m:t>
        </m:r>
      </m:oMath>
      <w:r>
        <w:t xml:space="preserve"> </w:t>
      </w:r>
      <w:r>
        <w:t xml:space="preserve">люд.-год.</w:t>
      </w:r>
    </w:p>
    <w:p>
      <w:pPr>
        <w:pStyle w:val="BodyText"/>
      </w:pPr>
      <w:r>
        <w:t xml:space="preserve">Така трудомісткість перевищує можливості одного розробника в межах часу, відведеного на кваліфікаційну роботу, тому план зосереджено на реалізації шести варіантів використання, а значну частину функцій покладено на готові компоненти (mediasoup, Auth.js, Next.js, Electron), так що повністю самостійно розробляються лише захоплення окремих застосунків і режим слідування.</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Для структурування проєкту загальний обсяг робіт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w:t>
      </w:r>
    </w:p>
    <w:p>
      <w:pPr>
        <w:pStyle w:val="BodyText"/>
      </w:pPr>
      <w:r>
        <w:t xml:space="preserve">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w:t>
      </w:r>
    </w:p>
    <w:p>
      <w:pPr>
        <w:pStyle w:val="BodyText"/>
      </w:pPr>
      <w:r>
        <w:t xml:space="preserve">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6"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6"/>
    <w:p>
      <w:pPr>
        <w:pStyle w:val="BodyText"/>
        <w:spacing w:before="480"/>
      </w:pPr>
      <w:r>
        <w:t xml:space="preserve">Робота 1 створює основу для всіх подальших робіт, робота 2 розширює її модель трансляцій і сеансів, робота 3 розгортає завершене ядро, а інтерфейс у роботі 4 доопрацьовується на розгорнутій системі. Робота 5 використовує конвеєр трансляції роботи 1, робота 6 – настільний застосунок роботи 5, випуск роботи 7 можливий після робіт 5 і 6, робота 8 спирається на захоплення застосунків і перший випуск, а робота 9 потребує завершеної версії системи.</w:t>
      </w:r>
    </w:p>
    <w:p>
      <w:pPr>
        <w:pStyle w:val="BodyText"/>
      </w:pPr>
      <w:r>
        <w:t xml:space="preserve">Роботи на діаграмі Ганта (рис. 2.1) згруповано в етапи: розробка вебсервісу (1–4), настільного застосунку (5–8), тестування й документування (9).</w:t>
      </w:r>
    </w:p>
    <w:bookmarkStart w:id="40" w:name="fig:gantt"/>
    <w:p>
      <w:pPr>
        <w:pStyle w:val="CaptionedFigure"/>
      </w:pPr>
      <w:r>
        <w:drawing>
          <wp:inline>
            <wp:extent cx="5759999" cy="2411942"/>
            <wp:effectExtent b="0" l="0" r="0" t="0"/>
            <wp:docPr descr="Діаграма Ганта проєкту"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40"/>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[24, 26] усунуто в роботі 6, R3 і R4 – у роботах 5 і 7, R8 і R9 – планом робіт 5–8.</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109</m:t>
        </m:r>
        <m:r>
          <m:rPr>
            <m:sty m:val="p"/>
          </m:rPr>
          <m:t>,</m:t>
        </m:r>
        <m:r>
          <m:t>8</m:t>
        </m:r>
      </m:oMath>
      <w:r>
        <w:t xml:space="preserve">, або близько 3074 люд.-год. Дев’ять робіт виконуються з 27.05 до 25.09.2026, критична – захоплення окремих застосунків; заходи щодо ключових ризиків реалізовано в коді.</w:t>
      </w:r>
    </w:p>
    <w:bookmarkEnd w:id="44"/>
    <w:bookmarkEnd w:id="45"/>
    <w:bookmarkStart w:id="106"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[28]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5"/>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8–9 сценарію 1.4, які використовує й сценарій 1.5.</w:t>
      </w:r>
    </w:p>
    <w:bookmarkStart w:id="59" w:name="fig:seq-broadcast"/>
    <w:p>
      <w:pPr>
        <w:pStyle w:val="CaptionedFigure"/>
      </w:pPr>
      <w:r>
        <w:drawing>
          <wp:inline>
            <wp:extent cx="5759999" cy="7842845"/>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1.3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[26], тому нативним застосункам рекомендовано використовувати системний браузер і локальну адресу зворотного виклику [24]. Взаємодію, що реалізує ФВ-02, наведено на рис. 3.5.</w:t>
      </w:r>
    </w:p>
    <w:bookmarkStart w:id="67"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[25]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4679999" cy="6510277"/>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6"/>
    <w:bookmarkStart w:id="86"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80" w:name="fig:er"/>
    <w:p>
      <w:pPr>
        <w:pStyle w:val="CaptionedFigure"/>
      </w:pPr>
      <w:r>
        <w:drawing>
          <wp:inline>
            <wp:extent cx="4679999" cy="4514735"/>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1"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1"/>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2"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2"/>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3"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3"/>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4"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4"/>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5"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5"/>
    <w:bookmarkEnd w:id="86"/>
    <w:bookmarkStart w:id="95"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90" w:name="fig:classes-signaling"/>
    <w:p>
      <w:pPr>
        <w:pStyle w:val="CaptionedFigure"/>
      </w:pPr>
      <w:r>
        <w:drawing>
          <wp:inline>
            <wp:extent cx="5759999" cy="7287851"/>
            <wp:effectExtent b="0" l="0" r="0" t="0"/>
            <wp:docPr descr="Діаграма класів сервера сигналізації" title="" id="88" name="Picture"/>
            <a:graphic>
              <a:graphicData uri="http://schemas.openxmlformats.org/drawingml/2006/picture">
                <pic:pic>
                  <pic:nvPicPr>
                    <pic:cNvPr descr="../diagrams/fig-classes-signaling.png" id="89" name="Picture"/>
                    <pic:cNvPicPr>
                      <a:picLocks noChangeArrowheads="1" noChangeAspect="1"/>
                    </pic:cNvPicPr>
                  </pic:nvPicPr>
                  <pic:blipFill>
                    <a:blip r:embed="rId87"/>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90"/>
    <w:p>
      <w:pPr>
        <w:pStyle w:val="BodyText"/>
        <w:spacing w:before="480"/>
      </w:pPr>
      <w:r>
        <w:t xml:space="preserve">Контролери реєструють маршрути Fastify: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і не має прямого доступу до API Node.js та Electron. Шар міжпроцесної взаємодії (у коді – conveyor) наведено на рис. 3.10.</w:t>
      </w:r>
    </w:p>
    <w:bookmarkStart w:id="94"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2" name="Picture"/>
            <a:graphic>
              <a:graphicData uri="http://schemas.openxmlformats.org/drawingml/2006/picture">
                <pic:pic>
                  <pic:nvPicPr>
                    <pic:cNvPr descr="../diagrams/fig-classes-conveyor.png" id="93" name="Picture"/>
                    <pic:cNvPicPr>
                      <a:picLocks noChangeArrowheads="1" noChangeAspect="1"/>
                    </pic:cNvPicPr>
                  </pic:nvPicPr>
                  <pic:blipFill>
                    <a:blip r:embed="rId91"/>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4"/>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[28], який передає дані сторінці напряму через пару портів повідомлень.</w:t>
      </w:r>
    </w:p>
    <w:bookmarkEnd w:id="95"/>
    <w:bookmarkStart w:id="104"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9" w:name="fig:ui-broadcast"/>
    <w:p>
      <w:pPr>
        <w:pStyle w:val="CaptionedFigure"/>
      </w:pPr>
      <w:r>
        <w:drawing>
          <wp:inline>
            <wp:extent cx="5759999" cy="1931851"/>
            <wp:effectExtent b="0" l="0" r="0" t="0"/>
            <wp:docPr descr="Макет сторінки трансляції" title="" id="97" name="Picture"/>
            <a:graphic>
              <a:graphicData uri="http://schemas.openxmlformats.org/drawingml/2006/picture">
                <pic:pic>
                  <pic:nvPicPr>
                    <pic:cNvPr descr="../diagrams/fig-ui-broadcast.png" id="98" name="Picture"/>
                    <pic:cNvPicPr>
                      <a:picLocks noChangeArrowheads="1" noChangeAspect="1"/>
                    </pic:cNvPicPr>
                  </pic:nvPicPr>
                  <pic:blipFill>
                    <a:blip r:embed="rId96"/>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9"/>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103" w:name="fig:ui-watch"/>
    <w:p>
      <w:pPr>
        <w:pStyle w:val="CaptionedFigure"/>
      </w:pPr>
      <w:r>
        <w:drawing>
          <wp:inline>
            <wp:extent cx="4319999" cy="1635672"/>
            <wp:effectExtent b="0" l="0" r="0" t="0"/>
            <wp:docPr descr="Макет сторінки перегляду трансляції" title="" id="101" name="Picture"/>
            <a:graphic>
              <a:graphicData uri="http://schemas.openxmlformats.org/drawingml/2006/picture">
                <pic:pic>
                  <pic:nvPicPr>
                    <pic:cNvPr descr="../diagrams/fig-ui-watch.png" id="102" name="Picture"/>
                    <pic:cNvPicPr>
                      <a:picLocks noChangeArrowheads="1" noChangeAspect="1"/>
                    </pic:cNvPicPr>
                  </pic:nvPicPr>
                  <pic:blipFill>
                    <a:blip r:embed="rId100"/>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3"/>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104"/>
    <w:bookmarkStart w:id="105"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програмної реалізації системи.</w:t>
      </w:r>
    </w:p>
    <w:bookmarkEnd w:id="105"/>
    <w:bookmarkEnd w:id="106"/>
    <w:bookmarkStart w:id="135" w:name="програмна-реалізація-системи"/>
    <w:p>
      <w:pPr>
        <w:pStyle w:val="Heading1"/>
      </w:pPr>
      <w:r>
        <w:t xml:space="preserve">4 ПРОГРАМНА РЕАЛІЗАЦІЯ СИСТЕМИ</w:t>
      </w:r>
    </w:p>
    <w:bookmarkStart w:id="108"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7"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7"/>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[28].</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8"/>
    <w:bookmarkStart w:id="116"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9"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9"/>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[28].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10"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10"/>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11"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11"/>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5"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3" name="Picture"/>
            <a:graphic>
              <a:graphicData uri="http://schemas.openxmlformats.org/drawingml/2006/picture">
                <pic:pic>
                  <pic:nvPicPr>
                    <pic:cNvPr descr="../diagrams/fig-capture-pipeline.png" id="114" name="Picture"/>
                    <pic:cNvPicPr>
                      <a:picLocks noChangeArrowheads="1" noChangeAspect="1"/>
                    </pic:cNvPicPr>
                  </pic:nvPicPr>
                  <pic:blipFill>
                    <a:blip r:embed="rId112"/>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5"/>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6"/>
    <w:bookmarkStart w:id="122"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7"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7"/>
    <w:p>
      <w:pPr>
        <w:pStyle w:val="FirstParagraph"/>
        <w:spacing w:before="480"/>
      </w:pPr>
      <w:r>
        <w:t xml:space="preserve">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8"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8"/>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9"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9"/>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20"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20"/>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21"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21"/>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22"/>
    <w:bookmarkStart w:id="126"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3"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3"/>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4"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4"/>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5"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5"/>
    <w:p>
      <w:pPr>
        <w:pStyle w:val="FirstParagraph"/>
        <w:spacing w:before="480"/>
      </w:pPr>
      <w:r>
        <w:t xml:space="preserve">Локальний сервер слухає адресу 127.0.0.1 на порту, призначеному операційною системою [24],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[25]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6"/>
    <w:bookmarkStart w:id="128"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7"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7"/>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8"/>
    <w:bookmarkStart w:id="133"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відповідно до архітектури системи.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Компонент ThemeProvider бібліотеки next-themes перемикає тему класом кореневого елемента й типово обирає її за налаштуванням операційної системи;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32" w:name="fig:scr-home-themes"/>
    <w:p>
      <w:pPr>
        <w:pStyle w:val="CaptionedFigure"/>
      </w:pPr>
      <w:r>
        <w:drawing>
          <wp:inline>
            <wp:extent cx="5759999" cy="2035530"/>
            <wp:effectExtent b="0" l="0" r="0" t="0"/>
            <wp:docPr descr="Головна сторінка вебзастосунку: а – світла тема; б – темна тема" title="" id="130" name="Picture"/>
            <a:graphic>
              <a:graphicData uri="http://schemas.openxmlformats.org/drawingml/2006/picture">
                <pic:pic>
                  <pic:nvPicPr>
                    <pic:cNvPr descr="../screenshots/scr-home-themes.png" id="131" name="Picture"/>
                    <pic:cNvPicPr>
                      <a:picLocks noChangeArrowheads="1" noChangeAspect="1"/>
                    </pic:cNvPicPr>
                  </pic:nvPicPr>
                  <pic:blipFill>
                    <a:blip r:embed="rId129"/>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32"/>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для випуску GitHub. Автоматичне оновлення, як і передбачено нефункціональними вимогами, працює лише у Windows і Linux.</w:t>
      </w:r>
    </w:p>
    <w:bookmarkEnd w:id="133"/>
    <w:bookmarkStart w:id="134"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4"/>
    <w:bookmarkEnd w:id="135"/>
    <w:bookmarkStart w:id="145" w:name="тестування-програмної-системи"/>
    <w:p>
      <w:pPr>
        <w:pStyle w:val="Heading1"/>
      </w:pPr>
      <w:r>
        <w:t xml:space="preserve">5 ТЕСТУВАННЯ ПРОГРАМНОЇ СИСТЕМИ</w:t>
      </w:r>
    </w:p>
    <w:bookmarkStart w:id="137"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1.6.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6"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6"/>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7"/>
    <w:bookmarkStart w:id="139"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8"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8"/>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на яку посилається сторінка входу, для анонімного відвідувача переспрямовує на вхід, що відповідає ФВ-04, але робить правові сторінки недоступними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потоку 1.4 виконується повністю: маршрутизатор пропонує кодеки в порядку лістингу 4.5, публікація останнього потоку переводить трансляцію в стан live, мініатюру змінює лише власник.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перелік джерел, звук застосунку і слідування в реальному застосунку перевіряються вручну у Windows.</w:t>
      </w:r>
    </w:p>
    <w:p>
      <w:pPr>
        <w:pStyle w:val="BodyText"/>
      </w:pPr>
      <w:r>
        <w:t xml:space="preserve">Приклади перегляду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9"/>
    <w:bookmarkStart w:id="141"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5.3.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40"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запити закритих сторінок і WebSocket без сеансу та із сеансом гостя</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гостьовий вхід, заголовок Set-Cookie</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40"/>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41"/>
    <w:bookmarkStart w:id="143"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наведено в табл. 5.4 разом із дефектами, виявленими під час функціонального та нефункціонального тестування.</w:t>
      </w:r>
    </w:p>
    <w:bookmarkStart w:id="142"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42"/>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передбачено повторну ручну перевірку.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Ручні перевірки входу через Google, захоплення, відтворення й відновлення трансляції та вимірювання табл. 5.3 потребують реального обладнання та є умовою остаточної оцінки ефективності функціонування й сумісності.</w:t>
      </w:r>
    </w:p>
    <w:bookmarkEnd w:id="143"/>
    <w:bookmarkStart w:id="144" w:name="висновки-до-розділу-5"/>
    <w:p>
      <w:pPr>
        <w:pStyle w:val="Heading2"/>
      </w:pPr>
      <w:r>
        <w:t xml:space="preserve">Висновки до розділу 5</w:t>
      </w:r>
    </w:p>
    <w:p>
      <w:pPr>
        <w:pStyle w:val="FirstParagraph"/>
        <w:spacing w:before="480"/>
      </w:pPr>
      <w:r>
        <w:t xml:space="preserve">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 Статична перевірка і збирання всіх пакетів пройшли успішно, а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5.4),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вимірювань продуктивності має надати автор роботи.</w:t>
      </w:r>
    </w:p>
    <w:bookmarkEnd w:id="144"/>
    <w:bookmarkEnd w:id="145"/>
    <w:bookmarkStart w:id="174" w:name="експлуатація-програмної-системи"/>
    <w:p>
      <w:pPr>
        <w:pStyle w:val="Heading1"/>
      </w:pPr>
      <w:r>
        <w:t xml:space="preserve">6 ЕКСПЛУАТАЦІЯ ПРОГРАМНОЇ СИСТЕМИ</w:t>
      </w:r>
    </w:p>
    <w:bookmarkStart w:id="170"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1.5, 1.3 та 1.6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9"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7" name="Picture"/>
            <a:graphic>
              <a:graphicData uri="http://schemas.openxmlformats.org/drawingml/2006/picture">
                <pic:pic>
                  <pic:nvPicPr>
                    <pic:cNvPr descr="../screenshots/scr-download.png" id="148" name="Picture"/>
                    <pic:cNvPicPr>
                      <a:picLocks noChangeArrowheads="1" noChangeAspect="1"/>
                    </pic:cNvPicPr>
                  </pic:nvPicPr>
                  <pic:blipFill>
                    <a:blip r:embed="rId146"/>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9"/>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53"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51" name="Picture"/>
            <a:graphic>
              <a:graphicData uri="http://schemas.openxmlformats.org/drawingml/2006/picture">
                <pic:pic>
                  <pic:nvPicPr>
                    <pic:cNvPr descr="../screenshots/scr-desktop-sign-in.png" id="152" name="Picture"/>
                    <pic:cNvPicPr>
                      <a:picLocks noChangeArrowheads="1" noChangeAspect="1"/>
                    </pic:cNvPicPr>
                  </pic:nvPicPr>
                  <pic:blipFill>
                    <a:blip r:embed="rId150"/>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53"/>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7" w:name="fig:scr-source-picker"/>
    <w:p>
      <w:pPr>
        <w:pStyle w:val="CaptionedFigure"/>
      </w:pPr>
      <w:r>
        <w:drawing>
          <wp:inline>
            <wp:extent cx="5759999" cy="1845250"/>
            <wp:effectExtent b="0" l="0" r="0" t="0"/>
            <wp:docPr descr="Вікно вибору джерела трансляції в настільному застосунку" title="" id="155" name="Picture"/>
            <a:graphic>
              <a:graphicData uri="http://schemas.openxmlformats.org/drawingml/2006/picture">
                <pic:pic>
                  <pic:nvPicPr>
                    <pic:cNvPr descr="../screenshots/scr-source-picker.png" id="156" name="Picture"/>
                    <pic:cNvPicPr>
                      <a:picLocks noChangeArrowheads="1" noChangeAspect="1"/>
                    </pic:cNvPicPr>
                  </pic:nvPicPr>
                  <pic:blipFill>
                    <a:blip r:embed="rId154"/>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7"/>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61"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9" name="Picture"/>
            <a:graphic>
              <a:graphicData uri="http://schemas.openxmlformats.org/drawingml/2006/picture">
                <pic:pic>
                  <pic:nvPicPr>
                    <pic:cNvPr descr="../screenshots/scr-broadcast-live.png" id="160" name="Picture"/>
                    <pic:cNvPicPr>
                      <a:picLocks noChangeArrowheads="1" noChangeAspect="1"/>
                    </pic:cNvPicPr>
                  </pic:nvPicPr>
                  <pic:blipFill>
                    <a:blip r:embed="rId158"/>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61"/>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5"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63" name="Picture"/>
            <a:graphic>
              <a:graphicData uri="http://schemas.openxmlformats.org/drawingml/2006/picture">
                <pic:pic>
                  <pic:nvPicPr>
                    <pic:cNvPr descr="../screenshots/scr-watch-guest.png" id="164" name="Picture"/>
                    <pic:cNvPicPr>
                      <a:picLocks noChangeArrowheads="1" noChangeAspect="1"/>
                    </pic:cNvPicPr>
                  </pic:nvPicPr>
                  <pic:blipFill>
                    <a:blip r:embed="rId162"/>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5"/>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9"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7" name="Picture"/>
            <a:graphic>
              <a:graphicData uri="http://schemas.openxmlformats.org/drawingml/2006/picture">
                <pic:pic>
                  <pic:nvPicPr>
                    <pic:cNvPr descr="../screenshots/scr-follow.png" id="168" name="Picture"/>
                    <pic:cNvPicPr>
                      <a:picLocks noChangeArrowheads="1" noChangeAspect="1"/>
                    </pic:cNvPicPr>
                  </pic:nvPicPr>
                  <pic:blipFill>
                    <a:blip r:embed="rId166"/>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9"/>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70"/>
    <w:bookmarkStart w:id="172"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71"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71"/>
    <w:p>
      <w:pPr>
        <w:pStyle w:val="BodyText"/>
        <w:spacing w:before="480"/>
      </w:pPr>
      <w:r>
        <w:t xml:space="preserve">[ПОТРЕБУЄ УТОЧНЕННЯ: висновок за табл. 6.1; факти використання сервісу, лише якщо вони є]</w:t>
      </w:r>
    </w:p>
    <w:bookmarkEnd w:id="172"/>
    <w:bookmarkStart w:id="173"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73"/>
    <w:bookmarkEnd w:id="174"/>
    <w:bookmarkStart w:id="175"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шість варіантів використання зі сценаріями,</w:t>
      </w:r>
      <w:r>
        <w:t xml:space="preserve"> </w:t>
      </w:r>
      <w:r>
        <w:t xml:space="preserve">сформульовано 19 функціональних вимог і</w:t>
      </w:r>
      <w:r>
        <w:t xml:space="preserve"> </w:t>
      </w:r>
      <w:r>
        <w:t xml:space="preserve">згруповано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109,8</w:t>
      </w:r>
      <w:r>
        <w:t xml:space="preserve"> </w:t>
      </w:r>
      <w:r>
        <w:t xml:space="preserve">точки, тобто близько 3074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75"/>
    <w:bookmarkStart w:id="177" w:name="список-використаних-джерел"/>
    <w:p>
      <w:pPr>
        <w:pStyle w:val="Heading1"/>
      </w:pPr>
      <w:r>
        <w:t xml:space="preserve">СПИСОК ВИКОРИСТАНИХ ДЖЕРЕЛ</w:t>
      </w:r>
    </w:p>
    <w:bookmarkStart w:id="176"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Denniss W., Bradley J. OAuth 2.0 for Native Apps : RFC 8252 (BCP 212). IETF, 2017. URL: https://www.rfc-editor.org/rfc/rfc8252 (дата звернення: 05.10.2026).</w:t>
      </w:r>
    </w:p>
    <w:p>
      <w:pPr>
        <w:pStyle w:val="Bibliography"/>
      </w:pPr>
      <w:r>
        <w:t xml:space="preserve">25. Sakimura N., Bradley J., Agarwal N. Proof Key for Code Exchange by OAuth Public Clients : RFC 7636. IETF, 2015. URL: https://www.rfc-editor.org/rfc/rfc7636 (дата звернення: 05.10.2026).</w:t>
      </w:r>
    </w:p>
    <w:p>
      <w:pPr>
        <w:pStyle w:val="Bibliography"/>
      </w:pPr>
      <w:r>
        <w:t xml:space="preserve">26.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27.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28. Process Model. Electron Documentation. URL: https://www.electronjs.org/docs/latest/tutorial/process-model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76"/>
    <w:bookmarkEnd w:id="177"/>
    <w:bookmarkStart w:id="183"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8"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8"/>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9"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9"/>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80"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80"/>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81"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81"/>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82"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82"/>
    <w:bookmarkEnd w:id="183"/>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12" Type="http://schemas.openxmlformats.org/officeDocument/2006/relationships/image" Target="media/rId112.png"/><Relationship Id="rId91" Type="http://schemas.openxmlformats.org/officeDocument/2006/relationships/image" Target="media/rId91.png"/><Relationship Id="rId87" Type="http://schemas.openxmlformats.org/officeDocument/2006/relationships/image" Target="media/rId87.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6" Type="http://schemas.openxmlformats.org/officeDocument/2006/relationships/image" Target="media/rId96.png"/><Relationship Id="rId100" Type="http://schemas.openxmlformats.org/officeDocument/2006/relationships/image" Target="media/rId100.png"/><Relationship Id="rId21" Type="http://schemas.openxmlformats.org/officeDocument/2006/relationships/image" Target="media/rId21.png"/><Relationship Id="rId158" Type="http://schemas.openxmlformats.org/officeDocument/2006/relationships/image" Target="media/rId158.png"/><Relationship Id="rId150" Type="http://schemas.openxmlformats.org/officeDocument/2006/relationships/image" Target="media/rId150.png"/><Relationship Id="rId146" Type="http://schemas.openxmlformats.org/officeDocument/2006/relationships/image" Target="media/rId146.png"/><Relationship Id="rId166" Type="http://schemas.openxmlformats.org/officeDocument/2006/relationships/image" Target="media/rId166.png"/><Relationship Id="rId129" Type="http://schemas.openxmlformats.org/officeDocument/2006/relationships/image" Target="media/rId129.png"/><Relationship Id="rId154" Type="http://schemas.openxmlformats.org/officeDocument/2006/relationships/image" Target="media/rId154.png"/><Relationship Id="rId162" Type="http://schemas.openxmlformats.org/officeDocument/2006/relationships/image" Target="media/rId162.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2026-10-07T07:43:06Z</dcterms:created>
  <dcterms:modified xsi:type="dcterms:W3CDTF">2026-10-07T07:43:06Z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