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1: Lexer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lexer for selected programming language. Store tokens in a special table. Display structured lexical information after processing. Make sure to detect and indicate lexical errors in the input. To accomplish this a specialized error “token” could be introduced.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at least part of the tokens should be recognized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 technique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“tokens” should be considered: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numeric constants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literals and symbolic constants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preprocessor directives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keywords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punctuation marks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Options for output: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sequence of tokens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highlighting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tokens sorted by type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 variants: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Pascal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Delphi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Script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Swift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Kotlin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(Visual) Basic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Haskell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FORTRAN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Objective C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66666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SQL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lab is based on lab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лексичний аналіз в мовах програмування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nicyb.kiev.ua/~pantaras/SP/lr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