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МЕТОДИКА ОПРЕДЕЛЕНИЯ СПРАВЕДЛИВОЙ СТОИМОСТИ АКЦИЙ</w:t>
        <w:br/>
        <w:t>ПРИ ОТСУТСТВИИ РЫНОЧНОЙ КОТИРОВКИ</w:t>
      </w:r>
    </w:p>
    <w:p>
      <w:pPr>
        <w:widowControl/>
      </w:pPr>
      <w:r>
        <w:t>При отсутствии активного рынка справедливая стоимость акций определяется на основании ожидаемых денежных потоков, доступных владельцам акций. Для компаний, регулярно выплачивающих дивиденды, применяется модель Гордона. Для компаний, не выплачивающих дивиденды либо выплачивающих их нерегулярно, применяется метод дисконтирования свободного денежного потока на собственный капитал — FCFE.</w:t>
      </w:r>
    </w:p>
    <w:p>
      <w:pPr>
        <w:widowControl/>
      </w:pPr>
      <w:r>
        <w:t>Ставка дисконтирования в обеих моделях определяется с использованием модели оценки капитальных активов CAPM и отражает требуемую доходность акционеров с учётом систематического риска эмитента.</w:t>
      </w:r>
    </w:p>
    <w:p>
      <w:pPr>
        <w:pStyle w:val="Heading1"/>
        <w:widowControl/>
      </w:pPr>
      <w:r>
        <w:t>1. Оценка дивидендных компаний по модели Гордона</w:t>
      </w:r>
    </w:p>
    <w:p>
      <w:pPr>
        <w:widowControl/>
      </w:pPr>
      <w:r>
        <w:t>Модель Гордона применяется, если компания осуществляет регулярные дивидендные выплаты и предполагается, что дивиденды будут увеличиваться постоянным устойчивым темпом. Справедливая стоимость акции определяется как текущая стоимость бесконечного потока растущих дивидендов.</w:t>
      </w:r>
    </w:p>
    <w:p>
      <w:pPr>
        <w:widowControl/>
      </w:pPr>
      <w:r>
        <w:t>Справедливая стоимость одной акции на дату оценки определяется по формуле:</w:t>
      </w:r>
    </w:p>
    <w:p>
      <w:pPr>
        <w:pStyle w:val="Formula"/>
        <w:widowControl/>
      </w:pPr>
      <w:r>
        <w:t>P₀ = D₁ / (Rₑ − g),</w:t>
      </w:r>
    </w:p>
    <w:p>
      <w:pPr>
        <w:pStyle w:val="Definition"/>
        <w:widowControl/>
      </w:pPr>
      <w:r>
        <w:rPr>
          <w:i/>
        </w:rPr>
        <w:t xml:space="preserve">P₀ — </w:t>
      </w:r>
      <w:r>
        <w:t>справедливая стоимость одной акции на дату оценки;</w:t>
      </w:r>
    </w:p>
    <w:p>
      <w:pPr>
        <w:pStyle w:val="Definition"/>
        <w:widowControl/>
      </w:pPr>
      <w:r>
        <w:rPr>
          <w:i/>
        </w:rPr>
        <w:t xml:space="preserve">D₁ — </w:t>
      </w:r>
      <w:r>
        <w:t>ожидаемый дивиденд на одну акцию за период, следующий за датой оценки;</w:t>
      </w:r>
    </w:p>
    <w:p>
      <w:pPr>
        <w:pStyle w:val="Definition"/>
        <w:widowControl/>
      </w:pPr>
      <w:r>
        <w:rPr>
          <w:i/>
        </w:rPr>
        <w:t xml:space="preserve">Rₑ — </w:t>
      </w:r>
      <w:r>
        <w:t>требуемая доходность собственного капитала, используемая в качестве ставки дисконтирования;</w:t>
      </w:r>
    </w:p>
    <w:p>
      <w:pPr>
        <w:pStyle w:val="Definition"/>
        <w:widowControl/>
      </w:pPr>
      <w:r>
        <w:rPr>
          <w:i/>
        </w:rPr>
        <w:t xml:space="preserve">g — </w:t>
      </w:r>
      <w:r>
        <w:t>устойчивый долгосрочный темп роста дивидендов.</w:t>
      </w:r>
    </w:p>
    <w:p>
      <w:pPr>
        <w:widowControl/>
      </w:pPr>
      <w:r>
        <w:t>Если известен последний выплаченный или объявленный дивиденд, ожидаемый дивиденд определяется по формуле:</w:t>
      </w:r>
    </w:p>
    <w:p>
      <w:pPr>
        <w:pStyle w:val="Formula"/>
        <w:widowControl/>
      </w:pPr>
      <w:r>
        <w:t>D₁ = D₀ × (1 + g),</w:t>
      </w:r>
    </w:p>
    <w:p>
      <w:pPr>
        <w:pStyle w:val="Definition"/>
        <w:widowControl/>
      </w:pPr>
      <w:r>
        <w:rPr>
          <w:i/>
        </w:rPr>
        <w:t xml:space="preserve">D₀ — </w:t>
      </w:r>
      <w:r>
        <w:t>последний выплаченный или объявленный дивиденд на одну акцию.</w:t>
      </w:r>
    </w:p>
    <w:p>
      <w:pPr>
        <w:widowControl/>
      </w:pPr>
      <w:r>
        <w:t>Тогда справедливая стоимость одной акции определяется по формуле:</w:t>
      </w:r>
    </w:p>
    <w:p>
      <w:pPr>
        <w:pStyle w:val="Formula"/>
        <w:widowControl/>
      </w:pPr>
      <w:r>
        <w:t>P₀ = D₀ × (1 + g) / (Rₑ − g).</w:t>
      </w:r>
    </w:p>
    <w:p>
      <w:pPr>
        <w:widowControl/>
      </w:pPr>
      <w:r>
        <w:t>При применении модели должно выполняться условие:</w:t>
      </w:r>
    </w:p>
    <w:p>
      <w:pPr>
        <w:pStyle w:val="Formula"/>
        <w:widowControl/>
      </w:pPr>
      <w:r>
        <w:t>Rₑ &gt; g.</w:t>
      </w:r>
    </w:p>
    <w:p>
      <w:pPr>
        <w:widowControl/>
      </w:pPr>
      <w:r>
        <w:t>Если ставка дисконтирования равна темпу роста или ниже него, результат модели не имеет экономического смысла. Долгосрочный темп роста должен соответствовать устойчивым возможностям компании и не должен определяться только на основании краткосрочного периода ускоренного роста.</w:t>
      </w:r>
    </w:p>
    <w:p>
      <w:pPr>
        <w:pStyle w:val="Heading2"/>
        <w:widowControl/>
      </w:pPr>
      <w:r>
        <w:t>1.1. Определение долгосрочного темпа роста</w:t>
      </w:r>
    </w:p>
    <w:p>
      <w:pPr>
        <w:widowControl/>
      </w:pPr>
      <w:r>
        <w:t>Темп роста дивидендов может определяться на основании исторической динамики выплат, утверждённой дивидендной политики, прогнозов прибыли, ожидаемого роста отрасли и способности компании реинвестировать часть прибыли.</w:t>
      </w:r>
    </w:p>
    <w:p>
      <w:pPr>
        <w:widowControl/>
      </w:pPr>
      <w:r>
        <w:t>Устойчивый темп роста может рассчитываться по формуле:</w:t>
      </w:r>
    </w:p>
    <w:p>
      <w:pPr>
        <w:pStyle w:val="Formula"/>
        <w:widowControl/>
      </w:pPr>
      <w:r>
        <w:t>g = ROE × b,</w:t>
      </w:r>
    </w:p>
    <w:p>
      <w:pPr>
        <w:pStyle w:val="Definition"/>
        <w:widowControl/>
      </w:pPr>
      <w:r>
        <w:rPr>
          <w:i/>
        </w:rPr>
        <w:t xml:space="preserve">ROE — </w:t>
      </w:r>
      <w:r>
        <w:t>нормализованная рентабельность собственного капитала;</w:t>
      </w:r>
    </w:p>
    <w:p>
      <w:pPr>
        <w:pStyle w:val="Definition"/>
        <w:widowControl/>
      </w:pPr>
      <w:r>
        <w:rPr>
          <w:i/>
        </w:rPr>
        <w:t xml:space="preserve">b — </w:t>
      </w:r>
      <w:r>
        <w:t>коэффициент реинвестирования прибыли.</w:t>
      </w:r>
    </w:p>
    <w:p>
      <w:pPr>
        <w:widowControl/>
      </w:pPr>
      <w:r>
        <w:t>Коэффициент реинвестирования определяется по формуле:</w:t>
      </w:r>
    </w:p>
    <w:p>
      <w:pPr>
        <w:pStyle w:val="Formula"/>
        <w:widowControl/>
      </w:pPr>
      <w:r>
        <w:t>b = 1 − DPS / EPS,</w:t>
      </w:r>
    </w:p>
    <w:p>
      <w:pPr>
        <w:pStyle w:val="Definition"/>
        <w:widowControl/>
      </w:pPr>
      <w:r>
        <w:rPr>
          <w:i/>
        </w:rPr>
        <w:t xml:space="preserve">DPS — </w:t>
      </w:r>
      <w:r>
        <w:t>дивиденд на одну акцию;</w:t>
      </w:r>
    </w:p>
    <w:p>
      <w:pPr>
        <w:pStyle w:val="Definition"/>
        <w:widowControl/>
      </w:pPr>
      <w:r>
        <w:rPr>
          <w:i/>
        </w:rPr>
        <w:t xml:space="preserve">EPS — </w:t>
      </w:r>
      <w:r>
        <w:t>прибыль на одну акцию.</w:t>
      </w:r>
    </w:p>
    <w:p>
      <w:pPr>
        <w:pStyle w:val="Heading2"/>
        <w:widowControl/>
      </w:pPr>
      <w:r>
        <w:t>1.2. Двухэтапная модель</w:t>
      </w:r>
    </w:p>
    <w:p>
      <w:pPr>
        <w:widowControl/>
      </w:pPr>
      <w:r>
        <w:t>Если в ближайшие периоды ожидается неравномерный рост дивидендов, дивиденды прогнозного периода дисконтируются отдельно, а стоимость акции после выхода компании на устойчивый рост определяется по модели Гордона:</w:t>
      </w:r>
    </w:p>
    <w:p>
      <w:pPr>
        <w:pStyle w:val="Formula"/>
        <w:widowControl/>
      </w:pPr>
      <w:r>
        <w:t>P₀ = Σₜ₌₁ⁿ [Dₜ / (1 + Rₑ)ᵗ] + [Dₙ₊₁ / (Rₑ − g)] / (1 + Rₑ)ⁿ,</w:t>
      </w:r>
    </w:p>
    <w:p>
      <w:pPr>
        <w:pStyle w:val="Definition"/>
        <w:widowControl/>
      </w:pPr>
      <w:r>
        <w:rPr>
          <w:i/>
        </w:rPr>
        <w:t xml:space="preserve">Dₜ — </w:t>
      </w:r>
      <w:r>
        <w:t>прогнозируемый дивиденд в периоде t;</w:t>
      </w:r>
    </w:p>
    <w:p>
      <w:pPr>
        <w:pStyle w:val="Definition"/>
        <w:widowControl/>
      </w:pPr>
      <w:r>
        <w:rPr>
          <w:i/>
        </w:rPr>
        <w:t xml:space="preserve">n — </w:t>
      </w:r>
      <w:r>
        <w:t>продолжительность периода неустойчивого роста;</w:t>
      </w:r>
    </w:p>
    <w:p>
      <w:pPr>
        <w:pStyle w:val="Definition"/>
        <w:widowControl/>
      </w:pPr>
      <w:r>
        <w:rPr>
          <w:i/>
        </w:rPr>
        <w:t xml:space="preserve">Dₙ₊₁ — </w:t>
      </w:r>
      <w:r>
        <w:t>дивиденд первого периода устойчивого роста.</w:t>
      </w:r>
    </w:p>
    <w:p>
      <w:pPr>
        <w:pStyle w:val="Heading1"/>
        <w:widowControl/>
      </w:pPr>
      <w:r>
        <w:t>2. Определение ставки дисконтирования по модели CAPM</w:t>
      </w:r>
    </w:p>
    <w:p>
      <w:pPr>
        <w:widowControl/>
      </w:pPr>
      <w:r>
        <w:t>Ставка дисконтирования отражает доходность, которую инвесторы требуют за вложение средств в акции компании. Требуемая доходность собственного капитала определяется по формуле:</w:t>
      </w:r>
    </w:p>
    <w:p>
      <w:pPr>
        <w:pStyle w:val="Formula"/>
        <w:widowControl/>
      </w:pPr>
      <w:r>
        <w:t>Rₑ = Rf + βL × (Rm − Rf) + RPadd,</w:t>
      </w:r>
    </w:p>
    <w:p>
      <w:pPr>
        <w:pStyle w:val="Definition"/>
        <w:widowControl/>
      </w:pPr>
      <w:r>
        <w:rPr>
          <w:i/>
        </w:rPr>
        <w:t xml:space="preserve">Rₑ — </w:t>
      </w:r>
      <w:r>
        <w:t>требуемая доходность собственного капитала;</w:t>
      </w:r>
    </w:p>
    <w:p>
      <w:pPr>
        <w:pStyle w:val="Definition"/>
        <w:widowControl/>
      </w:pPr>
      <w:r>
        <w:rPr>
          <w:i/>
        </w:rPr>
        <w:t xml:space="preserve">Rf — </w:t>
      </w:r>
      <w:r>
        <w:t>безрисковая ставка доходности;</w:t>
      </w:r>
    </w:p>
    <w:p>
      <w:pPr>
        <w:pStyle w:val="Definition"/>
        <w:widowControl/>
      </w:pPr>
      <w:r>
        <w:rPr>
          <w:i/>
        </w:rPr>
        <w:t xml:space="preserve">βL — </w:t>
      </w:r>
      <w:r>
        <w:t>коэффициент систематического риска акций с учётом долговой нагрузки компании;</w:t>
      </w:r>
    </w:p>
    <w:p>
      <w:pPr>
        <w:pStyle w:val="Definition"/>
        <w:widowControl/>
      </w:pPr>
      <w:r>
        <w:rPr>
          <w:i/>
        </w:rPr>
        <w:t xml:space="preserve">Rm − Rf — </w:t>
      </w:r>
      <w:r>
        <w:t>рыночная премия за риск инвестирования в акции;</w:t>
      </w:r>
    </w:p>
    <w:p>
      <w:pPr>
        <w:pStyle w:val="Definition"/>
        <w:widowControl/>
      </w:pPr>
      <w:r>
        <w:rPr>
          <w:i/>
        </w:rPr>
        <w:t xml:space="preserve">RPadd — </w:t>
      </w:r>
      <w:r>
        <w:t>дополнительная премия за риски, не учтённые коэффициентом β.</w:t>
      </w:r>
    </w:p>
    <w:p>
      <w:pPr>
        <w:widowControl/>
      </w:pPr>
      <w:r>
        <w:t>Безрисковая ставка определяется на основании доходности государственных долговых ценных бумаг, номинированных в валюте прогнозируемых денежных потоков. Рыночная премия за риск представляет собой дополнительную доходность, которую инвесторы требуют по сравнению с вложением в безрисковые активы.</w:t>
      </w:r>
    </w:p>
    <w:p>
      <w:pPr>
        <w:widowControl/>
      </w:pPr>
      <w:r>
        <w:t>Коэффициент β характеризует чувствительность доходности акций к изменению доходности фондового рынка. При β, равной единице, риск акции соответствует среднерыночному риску; при β выше единицы акция считается более рискованной; при β ниже единицы — менее рискованной.</w:t>
      </w:r>
    </w:p>
    <w:p>
      <w:pPr>
        <w:pStyle w:val="Heading2"/>
        <w:widowControl/>
      </w:pPr>
      <w:r>
        <w:t>2.1. Определение коэффициента β</w:t>
      </w:r>
    </w:p>
    <w:p>
      <w:pPr>
        <w:widowControl/>
      </w:pPr>
      <w:r>
        <w:t>Если акции компании не обращаются на активном рынке, коэффициент β определяется на основании данных сопоставимых публичных компаний. Для исключения влияния их долговой нагрузки используется формула:</w:t>
      </w:r>
    </w:p>
    <w:p>
      <w:pPr>
        <w:pStyle w:val="Formula"/>
        <w:widowControl/>
      </w:pPr>
      <w:r>
        <w:t>βU = βL / [1 + (1 − T) × D/E],</w:t>
      </w:r>
    </w:p>
    <w:p>
      <w:pPr>
        <w:pStyle w:val="Definition"/>
        <w:widowControl/>
      </w:pPr>
      <w:r>
        <w:rPr>
          <w:i/>
        </w:rPr>
        <w:t xml:space="preserve">βU — </w:t>
      </w:r>
      <w:r>
        <w:t>коэффициент β без учёта финансового рычага;</w:t>
      </w:r>
    </w:p>
    <w:p>
      <w:pPr>
        <w:pStyle w:val="Definition"/>
        <w:widowControl/>
      </w:pPr>
      <w:r>
        <w:rPr>
          <w:i/>
        </w:rPr>
        <w:t xml:space="preserve">βL — </w:t>
      </w:r>
      <w:r>
        <w:t>наблюдаемый коэффициент β сопоставимой компании;</w:t>
      </w:r>
    </w:p>
    <w:p>
      <w:pPr>
        <w:pStyle w:val="Definition"/>
        <w:widowControl/>
      </w:pPr>
      <w:r>
        <w:rPr>
          <w:i/>
        </w:rPr>
        <w:t xml:space="preserve">T — </w:t>
      </w:r>
      <w:r>
        <w:t>ставка налога на прибыль;</w:t>
      </w:r>
    </w:p>
    <w:p>
      <w:pPr>
        <w:pStyle w:val="Definition"/>
        <w:widowControl/>
      </w:pPr>
      <w:r>
        <w:rPr>
          <w:i/>
        </w:rPr>
        <w:t xml:space="preserve">D — </w:t>
      </w:r>
      <w:r>
        <w:t>рыночная стоимость процентного долга;</w:t>
      </w:r>
    </w:p>
    <w:p>
      <w:pPr>
        <w:pStyle w:val="Definition"/>
        <w:widowControl/>
      </w:pPr>
      <w:r>
        <w:rPr>
          <w:i/>
        </w:rPr>
        <w:t xml:space="preserve">E — </w:t>
      </w:r>
      <w:r>
        <w:t>рыночная стоимость собственного капитала.</w:t>
      </w:r>
    </w:p>
    <w:p>
      <w:pPr>
        <w:widowControl/>
      </w:pPr>
      <w:r>
        <w:t>После определения среднего или медианного значения βU по сопоставимым компаниям коэффициент корректируется с учётом структуры капитала оцениваемого эмитента:</w:t>
      </w:r>
    </w:p>
    <w:p>
      <w:pPr>
        <w:pStyle w:val="Formula"/>
        <w:widowControl/>
      </w:pPr>
      <w:r>
        <w:t>βL = βU × [1 + (1 − T) × D/E].</w:t>
      </w:r>
    </w:p>
    <w:p>
      <w:pPr>
        <w:widowControl/>
      </w:pPr>
      <w:r>
        <w:t>Дополнительная премия RPadd может учитывать страновой риск, низкую ликвидность, малый размер компании и иные факторы. Один и тот же риск не должен одновременно включаться в несколько элементов ставки дисконтирования.</w:t>
      </w:r>
    </w:p>
    <w:p>
      <w:pPr>
        <w:pStyle w:val="Heading1"/>
        <w:widowControl/>
      </w:pPr>
      <w:r>
        <w:t>3. Оценка компаний, не выплачивающих дивиденды, по FCFE</w:t>
      </w:r>
    </w:p>
    <w:p>
      <w:pPr>
        <w:widowControl/>
      </w:pPr>
      <w:r>
        <w:t>Если компания не выплачивает дивиденды либо размер дивидендов не отражает её способность создавать стоимость для акционеров, оценка осуществляется на основании свободного денежного потока на собственный капитал. FCFE представляет собой денежный поток, который может быть распределён между владельцами обыкновенных акций после финансирования операционной деятельности, капитальных вложений и изменения долговой нагрузки.</w:t>
      </w:r>
    </w:p>
    <w:p>
      <w:pPr>
        <w:pStyle w:val="Heading2"/>
        <w:widowControl/>
      </w:pPr>
      <w:r>
        <w:t>3.1. Расчёт FCFE</w:t>
      </w:r>
    </w:p>
    <w:p>
      <w:pPr>
        <w:pStyle w:val="Formula"/>
        <w:widowControl/>
      </w:pPr>
      <w:r>
        <w:t>FCFEₜ = NIₜ + DAₜ − CAPEXₜ − ΔNWCₜ + NetBorrowingₜ,</w:t>
      </w:r>
    </w:p>
    <w:p>
      <w:pPr>
        <w:pStyle w:val="Definition"/>
        <w:widowControl/>
      </w:pPr>
      <w:r>
        <w:rPr>
          <w:i/>
        </w:rPr>
        <w:t xml:space="preserve">FCFEₜ — </w:t>
      </w:r>
      <w:r>
        <w:t>свободный денежный поток на собственный капитал в периоде t;</w:t>
      </w:r>
    </w:p>
    <w:p>
      <w:pPr>
        <w:pStyle w:val="Definition"/>
        <w:widowControl/>
      </w:pPr>
      <w:r>
        <w:rPr>
          <w:i/>
        </w:rPr>
        <w:t xml:space="preserve">NIₜ — </w:t>
      </w:r>
      <w:r>
        <w:t>чистая прибыль за период t;</w:t>
      </w:r>
    </w:p>
    <w:p>
      <w:pPr>
        <w:pStyle w:val="Definition"/>
        <w:widowControl/>
      </w:pPr>
      <w:r>
        <w:rPr>
          <w:i/>
        </w:rPr>
        <w:t xml:space="preserve">DAₜ — </w:t>
      </w:r>
      <w:r>
        <w:t>амортизация и другие неденежные расходы, уменьшающие чистую прибыль;</w:t>
      </w:r>
    </w:p>
    <w:p>
      <w:pPr>
        <w:pStyle w:val="Definition"/>
        <w:widowControl/>
      </w:pPr>
      <w:r>
        <w:rPr>
          <w:i/>
        </w:rPr>
        <w:t xml:space="preserve">CAPEXₜ — </w:t>
      </w:r>
      <w:r>
        <w:t>капитальные затраты за период t;</w:t>
      </w:r>
    </w:p>
    <w:p>
      <w:pPr>
        <w:pStyle w:val="Definition"/>
        <w:widowControl/>
      </w:pPr>
      <w:r>
        <w:rPr>
          <w:i/>
        </w:rPr>
        <w:t xml:space="preserve">ΔNWCₜ — </w:t>
      </w:r>
      <w:r>
        <w:t>изменение чистого оборотного капитала;</w:t>
      </w:r>
    </w:p>
    <w:p>
      <w:pPr>
        <w:pStyle w:val="Definition"/>
        <w:widowControl/>
      </w:pPr>
      <w:r>
        <w:rPr>
          <w:i/>
        </w:rPr>
        <w:t xml:space="preserve">NetBorrowingₜ — </w:t>
      </w:r>
      <w:r>
        <w:t>привлечение долгового финансирования за вычетом погашения долга.</w:t>
      </w:r>
    </w:p>
    <w:p>
      <w:pPr>
        <w:widowControl/>
      </w:pPr>
      <w:r>
        <w:t>Рост оборотного капитала уменьшает FCFE, поскольку требует дополнительного финансирования. Увеличение чистого заимствования повышает FCFE текущего периода, однако одновременно увеличивает долговую нагрузку и риск собственного капитала.</w:t>
      </w:r>
    </w:p>
    <w:p>
      <w:pPr>
        <w:widowControl/>
      </w:pPr>
      <w:r>
        <w:t>При расчёте используются нормализованные показатели. Разовые доходы и расходы, результаты переоценки, обесценение активов и иные неповторяющиеся статьи должны корректироваться, если они искажают способность компании формировать денежные потоки.</w:t>
      </w:r>
    </w:p>
    <w:p>
      <w:pPr>
        <w:pStyle w:val="Heading2"/>
        <w:widowControl/>
      </w:pPr>
      <w:r>
        <w:t>3.2. Дисконтирование денежных потоков</w:t>
      </w:r>
    </w:p>
    <w:p>
      <w:pPr>
        <w:widowControl/>
      </w:pPr>
      <w:r>
        <w:t>Справедливая стоимость собственного капитала определяется как сумма текущей стоимости прогнозируемых FCFE и терминальной стоимости:</w:t>
      </w:r>
    </w:p>
    <w:p>
      <w:pPr>
        <w:pStyle w:val="Formula"/>
        <w:widowControl/>
      </w:pPr>
      <w:r>
        <w:t>FVEquity = Σₜ₌₁ⁿ [FCFEₜ / (1 + Rₑ)ᵗ] + TVₙ / (1 + Rₑ)ⁿ,</w:t>
      </w:r>
    </w:p>
    <w:p>
      <w:pPr>
        <w:pStyle w:val="Definition"/>
        <w:widowControl/>
      </w:pPr>
      <w:r>
        <w:rPr>
          <w:i/>
        </w:rPr>
        <w:t xml:space="preserve">FVEquity — </w:t>
      </w:r>
      <w:r>
        <w:t>справедливая стоимость собственного капитала компании;</w:t>
      </w:r>
    </w:p>
    <w:p>
      <w:pPr>
        <w:pStyle w:val="Definition"/>
        <w:widowControl/>
      </w:pPr>
      <w:r>
        <w:rPr>
          <w:i/>
        </w:rPr>
        <w:t xml:space="preserve">n — </w:t>
      </w:r>
      <w:r>
        <w:t>количество прогнозных периодов;</w:t>
      </w:r>
    </w:p>
    <w:p>
      <w:pPr>
        <w:pStyle w:val="Definition"/>
        <w:widowControl/>
      </w:pPr>
      <w:r>
        <w:rPr>
          <w:i/>
        </w:rPr>
        <w:t xml:space="preserve">TVₙ — </w:t>
      </w:r>
      <w:r>
        <w:t>терминальная стоимость собственного капитала на конец прогнозного периода.</w:t>
      </w:r>
    </w:p>
    <w:p>
      <w:pPr>
        <w:widowControl/>
      </w:pPr>
      <w:r>
        <w:t>Прогнозный период должен быть достаточным для выхода компании на устойчивый уровень роста, рентабельности, капитальных затрат и долговой нагрузки. При построении прогноза анализируются выручка, рентабельность, инвестиционная программа, изменение оборотного капитала и планы по привлечению и погашению долга.</w:t>
      </w:r>
    </w:p>
    <w:p>
      <w:pPr>
        <w:pStyle w:val="Heading2"/>
        <w:widowControl/>
      </w:pPr>
      <w:r>
        <w:t>3.3. Терминальная стоимость</w:t>
      </w:r>
    </w:p>
    <w:p>
      <w:pPr>
        <w:widowControl/>
      </w:pPr>
      <w:r>
        <w:t>После окончания подробного прогнозного периода стоимость последующих денежных потоков определяется с использованием модели постоянного роста:</w:t>
      </w:r>
    </w:p>
    <w:p>
      <w:pPr>
        <w:pStyle w:val="Formula"/>
        <w:widowControl/>
      </w:pPr>
      <w:r>
        <w:t>TVₙ = FCFEₙ₊₁ / (Rₑ − g),</w:t>
      </w:r>
    </w:p>
    <w:p>
      <w:pPr>
        <w:pStyle w:val="Formula"/>
        <w:widowControl/>
      </w:pPr>
      <w:r>
        <w:t>FCFEₙ₊₁ = FCFEₙ × (1 + g),</w:t>
      </w:r>
    </w:p>
    <w:p>
      <w:pPr>
        <w:pStyle w:val="Definition"/>
        <w:widowControl/>
      </w:pPr>
      <w:r>
        <w:rPr>
          <w:i/>
        </w:rPr>
        <w:t xml:space="preserve">FCFEₙ₊₁ — </w:t>
      </w:r>
      <w:r>
        <w:t>свободный денежный поток первого периода после окончания прогнозного горизонта;</w:t>
      </w:r>
    </w:p>
    <w:p>
      <w:pPr>
        <w:pStyle w:val="Definition"/>
        <w:widowControl/>
      </w:pPr>
      <w:r>
        <w:rPr>
          <w:i/>
        </w:rPr>
        <w:t xml:space="preserve">g — </w:t>
      </w:r>
      <w:r>
        <w:t>устойчивый долгосрочный темп роста FCFE.</w:t>
      </w:r>
    </w:p>
    <w:p>
      <w:pPr>
        <w:widowControl/>
      </w:pPr>
      <w:r>
        <w:t>Для применения терминальной модели компания должна достигнуть положительного и устойчивого денежного потока. Значения рентабельности, капитальных затрат, оборотного капитала и чистого заимствования в последнем прогнозном периоде должны быть нормализованы. Должно выполняться условие Rₑ &gt; g.</w:t>
      </w:r>
    </w:p>
    <w:p>
      <w:pPr>
        <w:pStyle w:val="Heading1"/>
        <w:widowControl/>
      </w:pPr>
      <w:r>
        <w:t>4. Определение справедливой стоимости одной акции</w:t>
      </w:r>
    </w:p>
    <w:p>
      <w:pPr>
        <w:widowControl/>
      </w:pPr>
      <w:r>
        <w:t>Справедливая стоимость, относящаяся к владельцам обыкновенных акций, определяется с учётом требований владельцев привилегированных акций и неконтролирующей доли участия:</w:t>
      </w:r>
    </w:p>
    <w:p>
      <w:pPr>
        <w:pStyle w:val="Formula"/>
        <w:widowControl/>
      </w:pPr>
      <w:r>
        <w:t>P₀ = (FVEquity − FVPreferred − NCI) / NFD,</w:t>
      </w:r>
    </w:p>
    <w:p>
      <w:pPr>
        <w:pStyle w:val="Definition"/>
        <w:widowControl/>
      </w:pPr>
      <w:r>
        <w:rPr>
          <w:i/>
        </w:rPr>
        <w:t xml:space="preserve">P₀ — </w:t>
      </w:r>
      <w:r>
        <w:t>справедливая стоимость одной обыкновенной акции;</w:t>
      </w:r>
    </w:p>
    <w:p>
      <w:pPr>
        <w:pStyle w:val="Definition"/>
        <w:widowControl/>
      </w:pPr>
      <w:r>
        <w:rPr>
          <w:i/>
        </w:rPr>
        <w:t xml:space="preserve">FVPreferred — </w:t>
      </w:r>
      <w:r>
        <w:t>справедливая стоимость привилегированных акций;</w:t>
      </w:r>
    </w:p>
    <w:p>
      <w:pPr>
        <w:pStyle w:val="Definition"/>
        <w:widowControl/>
      </w:pPr>
      <w:r>
        <w:rPr>
          <w:i/>
        </w:rPr>
        <w:t xml:space="preserve">NCI — </w:t>
      </w:r>
      <w:r>
        <w:t>стоимость неконтролирующей доли участия;</w:t>
      </w:r>
    </w:p>
    <w:p>
      <w:pPr>
        <w:pStyle w:val="Definition"/>
        <w:widowControl/>
      </w:pPr>
      <w:r>
        <w:rPr>
          <w:i/>
        </w:rPr>
        <w:t xml:space="preserve">NFD — </w:t>
      </w:r>
      <w:r>
        <w:t>разводнённое количество обыкновенных акций в обращении.</w:t>
      </w:r>
    </w:p>
    <w:p>
      <w:pPr>
        <w:widowControl/>
      </w:pPr>
      <w:r>
        <w:t>Если указанные корректировки отсутствуют, стоимость одной акции определяется по формуле:</w:t>
      </w:r>
    </w:p>
    <w:p>
      <w:pPr>
        <w:pStyle w:val="Formula"/>
        <w:widowControl/>
      </w:pPr>
      <w:r>
        <w:t>P₀ = FVEquity / N,</w:t>
      </w:r>
    </w:p>
    <w:p>
      <w:pPr>
        <w:pStyle w:val="Definition"/>
        <w:widowControl/>
      </w:pPr>
      <w:r>
        <w:rPr>
          <w:i/>
        </w:rPr>
        <w:t xml:space="preserve">N — </w:t>
      </w:r>
      <w:r>
        <w:t>количество обыкновенных акций в обращении.</w:t>
      </w:r>
    </w:p>
    <w:p>
      <w:pPr>
        <w:widowControl/>
      </w:pPr>
      <w:r>
        <w:t>Справедливая стоимость пакета акций определяется по формуле:</w:t>
      </w:r>
    </w:p>
    <w:p>
      <w:pPr>
        <w:pStyle w:val="Formula"/>
        <w:widowControl/>
      </w:pPr>
      <w:r>
        <w:t>FVPackage = P₀ × NPackage,</w:t>
      </w:r>
    </w:p>
    <w:p>
      <w:pPr>
        <w:pStyle w:val="Definition"/>
        <w:widowControl/>
      </w:pPr>
      <w:r>
        <w:rPr>
          <w:i/>
        </w:rPr>
        <w:t xml:space="preserve">FVPackage — </w:t>
      </w:r>
      <w:r>
        <w:t>справедливая стоимость пакета акций;</w:t>
      </w:r>
    </w:p>
    <w:p>
      <w:pPr>
        <w:pStyle w:val="Definition"/>
        <w:widowControl/>
      </w:pPr>
      <w:r>
        <w:rPr>
          <w:i/>
        </w:rPr>
        <w:t xml:space="preserve">NPackage — </w:t>
      </w:r>
      <w:r>
        <w:t>количество оцениваемых акций.</w:t>
      </w:r>
    </w:p>
    <w:p>
      <w:pPr>
        <w:pStyle w:val="Heading1"/>
        <w:widowControl/>
      </w:pPr>
      <w:r>
        <w:t>5. Выбор применяемого подхода</w:t>
      </w:r>
    </w:p>
    <w:p>
      <w:pPr>
        <w:widowControl/>
      </w:pPr>
      <w:r>
        <w:t>Модель Гордона используется для компаний с регулярными и устойчивыми дивидендными выплатами. Метод FCFE применяется для компаний без дивидендов, с нерегулярными выплатами либо в случаях, когда дивиденды существенно отличаются от денежных потоков, которые потенциально могут быть распределены между акционерами.</w:t>
      </w:r>
    </w:p>
    <w:p>
      <w:pPr>
        <w:widowControl/>
      </w:pPr>
      <w:r>
        <w:t>Полученная стоимость должна проверяться с использованием анализа чувствительности. Для модели Гордона основными параметрами являются ставка дисконтирования и темп роста дивидендов. Для модели FCFE дополнительно анализируется влияние прогнозной выручки, рентабельности, капитальных затрат, изменения оборотного капитала и долгового финансирования.</w:t>
      </w:r>
    </w:p>
    <w:sectPr w:rsidR="00FC693F" w:rsidRPr="0006063C" w:rsidSect="00034616">
      <w:footerReference w:type="default" r:id="rId9"/>
      <w:pgSz w:w="12240" w:h="15840"/>
      <w:pgMar w:top="1020" w:right="850"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ind w:firstLine="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00" w:after="20"/>
      <w:ind w:firstLine="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keepLines/>
      <w:spacing w:before="60" w:after="60"/>
      <w:ind w:firstLine="0"/>
      <w:jc w:val="center"/>
    </w:pPr>
    <w:rPr>
      <w:rFonts w:ascii="Cambria Math" w:hAnsi="Cambria Math" w:eastAsia="Cambria Math"/>
      <w:sz w:val="24"/>
    </w:rPr>
  </w:style>
  <w:style w:type="paragraph" w:customStyle="1" w:styleId="Definition">
    <w:name w:val="Definition"/>
    <w:pPr>
      <w:spacing w:line="240" w:lineRule="auto" w:after="0"/>
      <w:ind w:left="454"/>
      <w:jc w:val="both"/>
    </w:pPr>
    <w:rPr>
      <w:rFonts w:ascii="Times New Roman" w:hAnsi="Times New Roman" w:eastAsia="Times New Roman"/>
      <w:sz w:val="24"/>
    </w:rPr>
  </w:style>
  <w:style w:type="paragraph" w:customStyle="1" w:styleId="NoIndent">
    <w:name w:val="NoIndent"/>
    <w:pPr>
      <w:spacing w:line="276" w:lineRule="auto" w:after="0"/>
      <w:ind w:firstLine="0"/>
      <w:jc w:val="both"/>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Методика определения справедливой стоимости акций</dc:title>
  <dc:subject>Модель Гордона, CAPM и FCFE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