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МЕТОДИКА</w:t>
        <w:br/>
        <w:t>ОПРЕДЕЛЕНИЯ СПРАВЕДЛИВОЙ СТОИМОСТИ АКЦИЙ</w:t>
        <w:br/>
        <w:t>ПРИ ОТСУТСТВИИ РЫНОЧНОЙ КОТИРОВКИ</w:t>
      </w:r>
    </w:p>
    <w:p>
      <w:pPr>
        <w:pStyle w:val="Subtitle"/>
        <w:widowControl/>
      </w:pPr>
      <w:r>
        <w:t>Модель Гордона для дивидендных компаний</w:t>
        <w:br/>
        <w:t>и анализ свободного денежного потока на собственный капитал</w:t>
        <w:br/>
        <w:t>для компаний, не выплачивающих дивиденды</w:t>
      </w:r>
    </w:p>
    <w:p>
      <w:pPr>
        <w:widowControl/>
      </w:pPr>
    </w:p>
    <w:p>
      <w:pPr>
        <w:widowControl/>
      </w:pPr>
    </w:p>
    <w:p>
      <w:pPr>
        <w:pStyle w:val="Subtitle"/>
        <w:widowControl/>
      </w:pPr>
      <w:r>
        <w:t>2026</w:t>
      </w:r>
    </w:p>
    <w:p>
      <w:pPr>
        <w:widowControl/>
      </w:pPr>
      <w:r>
        <w:br w:type="page"/>
      </w:r>
    </w:p>
    <w:p>
      <w:pPr>
        <w:pStyle w:val="Heading1"/>
        <w:widowControl/>
      </w:pPr>
      <w:r>
        <w:t>1. Общие положения</w:t>
      </w:r>
    </w:p>
    <w:p>
      <w:pPr>
        <w:widowControl/>
      </w:pPr>
      <w:r>
        <w:t>Настоящая Методика устанавливает порядок определения справедливой стоимости обыкновенных и привилегированных акций в случае отсутствия рыночной котировки, сформированной на активном рынке, либо невозможности признания имеющейся котировки репрезентативной на дату оценки.</w:t>
      </w:r>
    </w:p>
    <w:p>
      <w:pPr>
        <w:widowControl/>
      </w:pPr>
      <w:r>
        <w:t>Справедливая стоимость акций определяется на основании ожидаемых экономических выгод, доступных владельцам акций, с учётом временной стоимости денег, систематического риска эмитента, устойчивых темпов роста, структуры капитала и иных существенных факторов, влияющих на стоимость собственного капитала.</w:t>
      </w:r>
    </w:p>
    <w:p>
      <w:pPr>
        <w:widowControl/>
      </w:pPr>
      <w:r>
        <w:t>При наличии наблюдаемой котировки замещающего финансового инструмента, сопоставимого по экономическим характеристикам, классу акций, правам владельцев, отрасли, размеру и уровню риска эмитента, такая информация может использоваться в качестве дополнительного индикатора при проверке результатов модельной оценки.</w:t>
      </w:r>
    </w:p>
    <w:p>
      <w:pPr>
        <w:widowControl/>
      </w:pPr>
      <w:r>
        <w:t>В отсутствие активного рынка приоритет отдаётся применению модели оценки, соответствующей способу формирования экономических выгод для акционеров:</w:t>
      </w:r>
    </w:p>
    <w:p>
      <w:pPr>
        <w:pStyle w:val="NoIndent"/>
        <w:ind w:left="425" w:hanging="283"/>
        <w:widowControl/>
      </w:pPr>
      <w:r>
        <w:t xml:space="preserve">• </w:t>
      </w:r>
      <w:r>
        <w:t>для компаний, регулярно выплачивающих дивиденды и способных поддерживать устойчивый долгосрочный темп их роста, применяется модель постоянного роста дивидендов — модель Гордона;</w:t>
      </w:r>
    </w:p>
    <w:p>
      <w:pPr>
        <w:pStyle w:val="NoIndent"/>
        <w:ind w:left="425" w:hanging="283"/>
        <w:widowControl/>
      </w:pPr>
      <w:r>
        <w:t xml:space="preserve">• </w:t>
      </w:r>
      <w:r>
        <w:t>для компаний, не выплачивающих дивиденды, выплачивающих их нерегулярно либо направляющих существенную часть прибыли на развитие, применяется метод дисконтирования свободного денежного потока на собственный капитал — FCFE.</w:t>
      </w:r>
    </w:p>
    <w:p>
      <w:pPr>
        <w:widowControl/>
      </w:pPr>
      <w:r>
        <w:t>Ставка дисконтирования дивидендов и свободного денежного потока на собственный капитал определяется с использованием модели оценки капитальных активов CAPM.</w:t>
      </w:r>
    </w:p>
    <w:p>
      <w:pPr>
        <w:pStyle w:val="Heading1"/>
        <w:widowControl/>
      </w:pPr>
      <w:r>
        <w:t>2. Выбор модели оценки</w:t>
      </w:r>
    </w:p>
    <w:p>
      <w:pPr>
        <w:widowControl/>
      </w:pPr>
      <w:r>
        <w:t>Выбор модели осуществляется с учётом дивидендной политики эмитента, стадии жизненного цикла компании, устойчивости финансовых результатов, доступности прогнозной информации и возможности обоснованного определения будущих денежных потоков.</w:t>
      </w:r>
    </w:p>
    <w:p>
      <w:pPr>
        <w:widowControl/>
      </w:pPr>
      <w:r>
        <w:t>Модель Гордона применяется, если дивидендные выплаты носят регулярный характер, соответствуют финансовым возможностям эмитента и ожидается их устойчивый долгосрочный рост. В случае временного неравномерного роста дивидендов допускается отдельное прогнозирование дивидендов в течение переходного периода с последующим применением модели Гордона для определения стоимости после выхода на устойчивый рост.</w:t>
      </w:r>
    </w:p>
    <w:p>
      <w:pPr>
        <w:widowControl/>
      </w:pPr>
      <w:r>
        <w:t>Метод дисконтирования FCFE применяется, если дивиденды отсутствуют, имеют нерегулярный характер либо не отражают способность компании формировать экономические выгоды для акционеров. Отсутствие дивидендных выплат не означает отсутствия стоимости акций, поскольку прибыль может реинвестироваться в развитие бизнеса и приводить к увеличению будущих денежных потоков.</w:t>
      </w:r>
    </w:p>
    <w:p>
      <w:pPr>
        <w:pStyle w:val="Heading1"/>
        <w:widowControl/>
      </w:pPr>
      <w:r>
        <w:t>3. Определение ставки дисконтирования по модели CAPM</w:t>
      </w:r>
    </w:p>
    <w:p>
      <w:pPr>
        <w:widowControl/>
      </w:pPr>
      <w:r>
        <w:t>Требуемая доходность собственного капитала эмитента, используемая в качестве ставки дисконтирования, определяется по модели CAPM по формуле:</w:t>
      </w:r>
    </w:p>
    <w:p>
      <w:pPr>
        <w:pStyle w:val="Formula"/>
        <w:widowControl/>
      </w:pPr>
      <w:r>
        <w:t>Rₑ = Rf + βL × (Rm − Rf) + RPadd,</w:t>
      </w:r>
    </w:p>
    <w:p>
      <w:pPr>
        <w:pStyle w:val="NoIndent"/>
        <w:ind w:left="425"/>
        <w:widowControl/>
      </w:pPr>
      <w:r>
        <w:rPr>
          <w:i/>
        </w:rPr>
        <w:t xml:space="preserve">Rₑ — </w:t>
      </w:r>
      <w:r>
        <w:t>требуемая доходность собственного капитала эмитента;</w:t>
      </w:r>
    </w:p>
    <w:p>
      <w:pPr>
        <w:pStyle w:val="NoIndent"/>
        <w:ind w:left="425"/>
        <w:widowControl/>
      </w:pPr>
      <w:r>
        <w:rPr>
          <w:i/>
        </w:rPr>
        <w:t xml:space="preserve">Rf — </w:t>
      </w:r>
      <w:r>
        <w:t>безрисковая ставка доходности на дату оценки;</w:t>
      </w:r>
    </w:p>
    <w:p>
      <w:pPr>
        <w:pStyle w:val="NoIndent"/>
        <w:ind w:left="425"/>
        <w:widowControl/>
      </w:pPr>
      <w:r>
        <w:rPr>
          <w:i/>
        </w:rPr>
        <w:t xml:space="preserve">βL — </w:t>
      </w:r>
      <w:r>
        <w:t>коэффициент систематического риска акций эмитента с учётом структуры капитала;</w:t>
      </w:r>
    </w:p>
    <w:p>
      <w:pPr>
        <w:pStyle w:val="NoIndent"/>
        <w:ind w:left="425"/>
        <w:widowControl/>
      </w:pPr>
      <w:r>
        <w:rPr>
          <w:i/>
        </w:rPr>
        <w:t xml:space="preserve">Rm − Rf — </w:t>
      </w:r>
      <w:r>
        <w:t>рыночная премия за риск инвестирования в акции;</w:t>
      </w:r>
    </w:p>
    <w:p>
      <w:pPr>
        <w:pStyle w:val="NoIndent"/>
        <w:ind w:left="425"/>
        <w:widowControl/>
      </w:pPr>
      <w:r>
        <w:rPr>
          <w:i/>
        </w:rPr>
        <w:t xml:space="preserve">RPadd — </w:t>
      </w:r>
      <w:r>
        <w:t>дополнительная премия за риски, не учтённые коэффициентом β, при наличии документально подтверждённых оснований для её применения.</w:t>
      </w:r>
    </w:p>
    <w:p>
      <w:pPr>
        <w:widowControl/>
      </w:pPr>
      <w:r>
        <w:t>Безрисковая ставка определяется на основании доходности государственных долговых ценных бумаг, номинированных в валюте прогнозируемых дивидендов или свободных денежных потоков. Срок используемой ставки должен соответствовать долгосрочному характеру оцениваемых денежных потоков.</w:t>
      </w:r>
    </w:p>
    <w:p>
      <w:pPr>
        <w:widowControl/>
      </w:pPr>
      <w:r>
        <w:t>Если акции эмитента не обращаются на активном рынке и собственный коэффициент β не может быть надёжно рассчитан, используется среднее или медианное значение коэффициентов β сопоставимых публичных компаний либо отраслевой показатель.</w:t>
      </w:r>
    </w:p>
    <w:p>
      <w:pPr>
        <w:widowControl/>
      </w:pPr>
      <w:r>
        <w:t>При использовании коэффициентов β сопоставимых компаний первоначально исключается влияние их долговой нагрузки по формуле:</w:t>
      </w:r>
    </w:p>
    <w:p>
      <w:pPr>
        <w:pStyle w:val="Formula"/>
        <w:widowControl/>
      </w:pPr>
      <w:r>
        <w:t>βU = βL / [1 + (1 − T) × D/E],</w:t>
      </w:r>
    </w:p>
    <w:p>
      <w:pPr>
        <w:pStyle w:val="NoIndent"/>
        <w:ind w:left="425"/>
        <w:widowControl/>
      </w:pPr>
      <w:r>
        <w:rPr>
          <w:i/>
        </w:rPr>
        <w:t xml:space="preserve">βU — </w:t>
      </w:r>
      <w:r>
        <w:t>коэффициент β без учёта финансового рычага;</w:t>
      </w:r>
    </w:p>
    <w:p>
      <w:pPr>
        <w:pStyle w:val="NoIndent"/>
        <w:ind w:left="425"/>
        <w:widowControl/>
      </w:pPr>
      <w:r>
        <w:rPr>
          <w:i/>
        </w:rPr>
        <w:t xml:space="preserve">βL — </w:t>
      </w:r>
      <w:r>
        <w:t>коэффициент β сопоставимой компании с учётом долговой нагрузки;</w:t>
      </w:r>
    </w:p>
    <w:p>
      <w:pPr>
        <w:pStyle w:val="NoIndent"/>
        <w:ind w:left="425"/>
        <w:widowControl/>
      </w:pPr>
      <w:r>
        <w:rPr>
          <w:i/>
        </w:rPr>
        <w:t xml:space="preserve">T — </w:t>
      </w:r>
      <w:r>
        <w:t>ставка налога на прибыль;</w:t>
      </w:r>
    </w:p>
    <w:p>
      <w:pPr>
        <w:pStyle w:val="NoIndent"/>
        <w:ind w:left="425"/>
        <w:widowControl/>
      </w:pPr>
      <w:r>
        <w:rPr>
          <w:i/>
        </w:rPr>
        <w:t xml:space="preserve">D — </w:t>
      </w:r>
      <w:r>
        <w:t>рыночная стоимость процентного долга;</w:t>
      </w:r>
    </w:p>
    <w:p>
      <w:pPr>
        <w:pStyle w:val="NoIndent"/>
        <w:ind w:left="425"/>
        <w:widowControl/>
      </w:pPr>
      <w:r>
        <w:rPr>
          <w:i/>
        </w:rPr>
        <w:t xml:space="preserve">E — </w:t>
      </w:r>
      <w:r>
        <w:t>рыночная стоимость собственного капитала.</w:t>
      </w:r>
    </w:p>
    <w:p>
      <w:pPr>
        <w:widowControl/>
      </w:pPr>
      <w:r>
        <w:t>После определения среднего или медианного значения βU коэффициент корректируется с учётом структуры капитала оцениваемого эмитента:</w:t>
      </w:r>
    </w:p>
    <w:p>
      <w:pPr>
        <w:pStyle w:val="Formula"/>
        <w:widowControl/>
      </w:pPr>
      <w:r>
        <w:t>βL = βU × [1 + (1 − T) × D/E].</w:t>
      </w:r>
    </w:p>
    <w:p>
      <w:pPr>
        <w:widowControl/>
      </w:pPr>
      <w:r>
        <w:t>Если рыночная стоимость собственного капитала оцениваемого эмитента неизвестна, для корректировки может использоваться целевая либо среднеотраслевая структура капитала при условии её экономического обоснования.</w:t>
      </w:r>
    </w:p>
    <w:p>
      <w:pPr>
        <w:widowControl/>
      </w:pPr>
      <w:r>
        <w:t>Дополнительная премия RPadd может учитывать страновой риск, малый размер компании, низкую ликвидность и иные существенные риски, не отражённые в коэффициенте β. Один и тот же риск не должен одновременно учитываться в нескольких элементах ставки дисконтирования или повторно включаться в корректировки рассчитанной стоимости.</w:t>
      </w:r>
    </w:p>
    <w:p>
      <w:pPr>
        <w:pStyle w:val="Heading1"/>
        <w:widowControl/>
      </w:pPr>
      <w:r>
        <w:t>4. Оценка дивидендных компаний по модели Гордона</w:t>
      </w:r>
    </w:p>
    <w:p>
      <w:pPr>
        <w:pStyle w:val="Heading2"/>
        <w:widowControl/>
      </w:pPr>
      <w:r>
        <w:t>4.1. Условия применения модели</w:t>
      </w:r>
    </w:p>
    <w:p>
      <w:pPr>
        <w:widowControl/>
      </w:pPr>
      <w:r>
        <w:t>Модель Гордона применяется при одновременном выполнении следующих условий:</w:t>
      </w:r>
    </w:p>
    <w:p>
      <w:pPr>
        <w:pStyle w:val="NoIndent"/>
        <w:ind w:left="425" w:hanging="283"/>
        <w:widowControl/>
      </w:pPr>
      <w:r>
        <w:t xml:space="preserve">• </w:t>
      </w:r>
      <w:r>
        <w:t>эмитент осуществляет регулярные дивидендные выплаты;</w:t>
      </w:r>
    </w:p>
    <w:p>
      <w:pPr>
        <w:pStyle w:val="NoIndent"/>
        <w:ind w:left="425" w:hanging="283"/>
        <w:widowControl/>
      </w:pPr>
      <w:r>
        <w:t xml:space="preserve">• </w:t>
      </w:r>
      <w:r>
        <w:t>дивидендная политика соответствует финансовому состоянию и способности компании генерировать прибыль и денежные потоки;</w:t>
      </w:r>
    </w:p>
    <w:p>
      <w:pPr>
        <w:pStyle w:val="NoIndent"/>
        <w:ind w:left="425" w:hanging="283"/>
        <w:widowControl/>
      </w:pPr>
      <w:r>
        <w:t xml:space="preserve">• </w:t>
      </w:r>
      <w:r>
        <w:t>ожидаемый долгосрочный темп роста дивидендов может быть обоснован на основании финансовых и макроэкономических предпосылок;</w:t>
      </w:r>
    </w:p>
    <w:p>
      <w:pPr>
        <w:pStyle w:val="NoIndent"/>
        <w:ind w:left="425" w:hanging="283"/>
        <w:widowControl/>
      </w:pPr>
      <w:r>
        <w:t xml:space="preserve">• </w:t>
      </w:r>
      <w:r>
        <w:t>требуемая доходность собственного капитала превышает долгосрочный темп роста дивидендов.</w:t>
      </w:r>
    </w:p>
    <w:p>
      <w:pPr>
        <w:pStyle w:val="Heading2"/>
        <w:widowControl/>
      </w:pPr>
      <w:r>
        <w:t>4.2. Расчёт справедливой стоимости</w:t>
      </w:r>
    </w:p>
    <w:p>
      <w:pPr>
        <w:widowControl/>
      </w:pPr>
      <w:r>
        <w:t>Справедливая стоимость одной акции на дату оценки определяется по формуле:</w:t>
      </w:r>
    </w:p>
    <w:p>
      <w:pPr>
        <w:pStyle w:val="Formula"/>
        <w:widowControl/>
      </w:pPr>
      <w:r>
        <w:t>P₀ = D₁ / (Rₑ − g),</w:t>
      </w:r>
    </w:p>
    <w:p>
      <w:pPr>
        <w:pStyle w:val="NoIndent"/>
        <w:ind w:left="425"/>
        <w:widowControl/>
      </w:pPr>
      <w:r>
        <w:rPr>
          <w:i/>
        </w:rPr>
        <w:t xml:space="preserve">P₀ — </w:t>
      </w:r>
      <w:r>
        <w:t>справедливая стоимость одной акции на дату оценки;</w:t>
      </w:r>
    </w:p>
    <w:p>
      <w:pPr>
        <w:pStyle w:val="NoIndent"/>
        <w:ind w:left="425"/>
        <w:widowControl/>
      </w:pPr>
      <w:r>
        <w:rPr>
          <w:i/>
        </w:rPr>
        <w:t xml:space="preserve">D₁ — </w:t>
      </w:r>
      <w:r>
        <w:t>ожидаемый дивиденд на одну акцию за период, следующий за датой оценки;</w:t>
      </w:r>
    </w:p>
    <w:p>
      <w:pPr>
        <w:pStyle w:val="NoIndent"/>
        <w:ind w:left="425"/>
        <w:widowControl/>
      </w:pPr>
      <w:r>
        <w:rPr>
          <w:i/>
        </w:rPr>
        <w:t xml:space="preserve">Rₑ — </w:t>
      </w:r>
      <w:r>
        <w:t>ставка дисконтирования, определённая по модели CAPM;</w:t>
      </w:r>
    </w:p>
    <w:p>
      <w:pPr>
        <w:pStyle w:val="NoIndent"/>
        <w:ind w:left="425"/>
        <w:widowControl/>
      </w:pPr>
      <w:r>
        <w:rPr>
          <w:i/>
        </w:rPr>
        <w:t xml:space="preserve">g — </w:t>
      </w:r>
      <w:r>
        <w:t>устойчивый долгосрочный темп роста дивидендов.</w:t>
      </w:r>
    </w:p>
    <w:p>
      <w:pPr>
        <w:widowControl/>
      </w:pPr>
      <w:r>
        <w:t>Если известен последний выплаченный или объявленный дивиденд D₀, ожидаемый дивиденд определяется по формуле:</w:t>
      </w:r>
    </w:p>
    <w:p>
      <w:pPr>
        <w:pStyle w:val="Formula"/>
        <w:widowControl/>
      </w:pPr>
      <w:r>
        <w:t>D₁ = D₀ × (1 + g).</w:t>
      </w:r>
    </w:p>
    <w:p>
      <w:pPr>
        <w:widowControl/>
      </w:pPr>
      <w:r>
        <w:t>В этом случае справедливая стоимость одной акции определяется по формуле:</w:t>
      </w:r>
    </w:p>
    <w:p>
      <w:pPr>
        <w:pStyle w:val="Formula"/>
        <w:widowControl/>
      </w:pPr>
      <w:r>
        <w:t>P₀ = D₀ × (1 + g) / (Rₑ − g).</w:t>
      </w:r>
    </w:p>
    <w:p>
      <w:pPr>
        <w:widowControl/>
      </w:pPr>
      <w:r>
        <w:t>Обязательным условием применения модели является:</w:t>
      </w:r>
    </w:p>
    <w:p>
      <w:pPr>
        <w:pStyle w:val="Formula"/>
        <w:widowControl/>
      </w:pPr>
      <w:r>
        <w:t>Rₑ &gt; g.</w:t>
      </w:r>
    </w:p>
    <w:p>
      <w:pPr>
        <w:widowControl/>
      </w:pPr>
      <w:r>
        <w:t>Если в течение ближайших периодов ожидается неравномерное изменение дивидендов, дивиденды переходного периода прогнозируются и дисконтируются отдельно, а стоимость акции после выхода на устойчивый рост определяется по модели Гордона:</w:t>
      </w:r>
    </w:p>
    <w:p>
      <w:pPr>
        <w:pStyle w:val="Formula"/>
        <w:widowControl/>
      </w:pPr>
      <w:r>
        <w:t>P₀ = Σₜ₌₁ⁿ [Dₜ / (1 + Rₑ)ᵗ] + [Dₙ₊₁ / (Rₑ − g)] / (1 + Rₑ)ⁿ.</w:t>
      </w:r>
    </w:p>
    <w:p>
      <w:pPr>
        <w:pStyle w:val="Heading2"/>
        <w:widowControl/>
      </w:pPr>
      <w:r>
        <w:t>4.3. Определение долгосрочного темпа роста дивидендов</w:t>
      </w:r>
    </w:p>
    <w:p>
      <w:pPr>
        <w:widowControl/>
      </w:pPr>
      <w:r>
        <w:t>Долгосрочный темп роста дивидендов определяется на основании исторической динамики выплат, утверждённой дивидендной политики, прогнозов прибыли и капитала, ожидаемого роста отрасли и экономики, а также способности компании реинвестировать прибыль с положительной доходностью.</w:t>
      </w:r>
    </w:p>
    <w:p>
      <w:pPr>
        <w:widowControl/>
      </w:pPr>
      <w:r>
        <w:t>Устойчивый темп роста может определяться по формуле:</w:t>
      </w:r>
    </w:p>
    <w:p>
      <w:pPr>
        <w:pStyle w:val="Formula"/>
        <w:widowControl/>
      </w:pPr>
      <w:r>
        <w:t>g = ROE × b,</w:t>
      </w:r>
    </w:p>
    <w:p>
      <w:pPr>
        <w:pStyle w:val="NoIndent"/>
        <w:ind w:left="425"/>
        <w:widowControl/>
      </w:pPr>
      <w:r>
        <w:rPr>
          <w:i/>
        </w:rPr>
        <w:t xml:space="preserve">ROE — </w:t>
      </w:r>
      <w:r>
        <w:t>нормализованная рентабельность собственного капитала;</w:t>
      </w:r>
    </w:p>
    <w:p>
      <w:pPr>
        <w:pStyle w:val="NoIndent"/>
        <w:ind w:left="425"/>
        <w:widowControl/>
      </w:pPr>
      <w:r>
        <w:rPr>
          <w:i/>
        </w:rPr>
        <w:t xml:space="preserve">b — </w:t>
      </w:r>
      <w:r>
        <w:t>коэффициент реинвестирования прибыли.</w:t>
      </w:r>
    </w:p>
    <w:p>
      <w:pPr>
        <w:widowControl/>
      </w:pPr>
      <w:r>
        <w:t>Коэффициент реинвестирования определяется по формуле:</w:t>
      </w:r>
    </w:p>
    <w:p>
      <w:pPr>
        <w:pStyle w:val="Formula"/>
        <w:widowControl/>
      </w:pPr>
      <w:r>
        <w:t>b = 1 − DPS/EPS,</w:t>
      </w:r>
    </w:p>
    <w:p>
      <w:pPr>
        <w:pStyle w:val="NoIndent"/>
        <w:ind w:left="425"/>
        <w:widowControl/>
      </w:pPr>
      <w:r>
        <w:rPr>
          <w:i/>
        </w:rPr>
        <w:t xml:space="preserve">DPS — </w:t>
      </w:r>
      <w:r>
        <w:t>дивиденд на одну акцию;</w:t>
      </w:r>
    </w:p>
    <w:p>
      <w:pPr>
        <w:pStyle w:val="NoIndent"/>
        <w:ind w:left="425"/>
        <w:widowControl/>
      </w:pPr>
      <w:r>
        <w:rPr>
          <w:i/>
        </w:rPr>
        <w:t xml:space="preserve">EPS — </w:t>
      </w:r>
      <w:r>
        <w:t>прибыль на одну акцию.</w:t>
      </w:r>
    </w:p>
    <w:p>
      <w:pPr>
        <w:widowControl/>
      </w:pPr>
      <w:r>
        <w:t>Значение g должно соответствовать долгосрочным возможностям компании и не должно определяться исключительно на основании краткосрочного периода ускоренного роста. При оценке зрелой компании долгосрочный темп роста, как правило, согласуется с ожидаемым ростом экономики и отрасли, в которой осуществляет деятельность эмитент.</w:t>
      </w:r>
    </w:p>
    <w:p>
      <w:pPr>
        <w:pStyle w:val="Heading1"/>
        <w:widowControl/>
      </w:pPr>
      <w:r>
        <w:t>5. Оценка компаний без дивидендов на основании анализа FCFE</w:t>
      </w:r>
    </w:p>
    <w:p>
      <w:pPr>
        <w:pStyle w:val="Heading2"/>
        <w:widowControl/>
      </w:pPr>
      <w:r>
        <w:t>5.1. Общий подход</w:t>
      </w:r>
    </w:p>
    <w:p>
      <w:pPr>
        <w:widowControl/>
      </w:pPr>
      <w:r>
        <w:t>Если эмитент не осуществляет дивидендные выплаты либо выплачиваемые дивиденды не отражают способность компании создавать экономические выгоды для акционеров, справедливая стоимость определяется методом дисконтирования свободного денежного потока на собственный капитал.</w:t>
      </w:r>
    </w:p>
    <w:p>
      <w:pPr>
        <w:widowControl/>
      </w:pPr>
      <w:r>
        <w:t>При проведении оценки анализируются бухгалтерская отчётность, отчёт о финансовых результатах, отчёт о движении денежных средств, структура капитала, инвестиционная программа, показатели оборотного капитала и планы по привлечению и погашению долгового финансирования.</w:t>
      </w:r>
    </w:p>
    <w:p>
      <w:pPr>
        <w:widowControl/>
      </w:pPr>
      <w:r>
        <w:t>Исторические показатели очищаются от разовых, неповторяющихся и неоперационных статей. Прогнозные значения должны быть взаимосвязаны и соответствовать производственным возможностям компании, её инвестиционной программе, конкурентной среде и доступности финансирования.</w:t>
      </w:r>
    </w:p>
    <w:p>
      <w:pPr>
        <w:pStyle w:val="Heading2"/>
        <w:widowControl/>
      </w:pPr>
      <w:r>
        <w:t>5.2. Расчёт свободного денежного потока на собственный капитал</w:t>
      </w:r>
    </w:p>
    <w:p>
      <w:pPr>
        <w:widowControl/>
      </w:pPr>
      <w:r>
        <w:t>Свободный денежный поток на собственный капитал определяется по формуле:</w:t>
      </w:r>
    </w:p>
    <w:p>
      <w:pPr>
        <w:pStyle w:val="Formula"/>
        <w:widowControl/>
      </w:pPr>
      <w:r>
        <w:t>FCFEₜ = NIₜ + DAₜ − CAPEXₜ − ΔNWCₜ + NetBorrowingₜ,</w:t>
      </w:r>
    </w:p>
    <w:p>
      <w:pPr>
        <w:pStyle w:val="NoIndent"/>
        <w:ind w:left="425"/>
        <w:widowControl/>
      </w:pPr>
      <w:r>
        <w:rPr>
          <w:i/>
        </w:rPr>
        <w:t xml:space="preserve">FCFEₜ — </w:t>
      </w:r>
      <w:r>
        <w:t>свободный денежный поток, доступный владельцам обыкновенных акций, за период t;</w:t>
      </w:r>
    </w:p>
    <w:p>
      <w:pPr>
        <w:pStyle w:val="NoIndent"/>
        <w:ind w:left="425"/>
        <w:widowControl/>
      </w:pPr>
      <w:r>
        <w:rPr>
          <w:i/>
        </w:rPr>
        <w:t xml:space="preserve">NIₜ — </w:t>
      </w:r>
      <w:r>
        <w:t>чистая прибыль за период t;</w:t>
      </w:r>
    </w:p>
    <w:p>
      <w:pPr>
        <w:pStyle w:val="NoIndent"/>
        <w:ind w:left="425"/>
        <w:widowControl/>
      </w:pPr>
      <w:r>
        <w:rPr>
          <w:i/>
        </w:rPr>
        <w:t xml:space="preserve">DAₜ — </w:t>
      </w:r>
      <w:r>
        <w:t>амортизация и иные неденежные расходы, включённые в чистую прибыль;</w:t>
      </w:r>
    </w:p>
    <w:p>
      <w:pPr>
        <w:pStyle w:val="NoIndent"/>
        <w:ind w:left="425"/>
        <w:widowControl/>
      </w:pPr>
      <w:r>
        <w:rPr>
          <w:i/>
        </w:rPr>
        <w:t xml:space="preserve">CAPEXₜ — </w:t>
      </w:r>
      <w:r>
        <w:t>капитальные затраты за период t;</w:t>
      </w:r>
    </w:p>
    <w:p>
      <w:pPr>
        <w:pStyle w:val="NoIndent"/>
        <w:ind w:left="425"/>
        <w:widowControl/>
      </w:pPr>
      <w:r>
        <w:rPr>
          <w:i/>
        </w:rPr>
        <w:t xml:space="preserve">ΔNWCₜ — </w:t>
      </w:r>
      <w:r>
        <w:t>изменение чистого оборотного капитала за период t;</w:t>
      </w:r>
    </w:p>
    <w:p>
      <w:pPr>
        <w:pStyle w:val="NoIndent"/>
        <w:ind w:left="425"/>
        <w:widowControl/>
      </w:pPr>
      <w:r>
        <w:rPr>
          <w:i/>
        </w:rPr>
        <w:t xml:space="preserve">NetBorrowingₜ — </w:t>
      </w:r>
      <w:r>
        <w:t>чистое привлечение долгового финансирования за вычетом погашения долга за период t.</w:t>
      </w:r>
    </w:p>
    <w:p>
      <w:pPr>
        <w:widowControl/>
      </w:pPr>
      <w:r>
        <w:t>Положительное значение ΔNWC означает увеличение потребности в оборотном капитале и уменьшает свободный денежный поток. Отрицательное значение ΔNWC означает высвобождение денежных средств из оборотного капитала и увеличивает свободный денежный поток.</w:t>
      </w:r>
    </w:p>
    <w:p>
      <w:pPr>
        <w:widowControl/>
      </w:pPr>
      <w:r>
        <w:t>При наличии существенных неденежных доходов, убытков от обесценения, результатов переоценки, доходов от продажи активов и иных разовых статей чистая прибыль и амортизационные корректировки приводятся к нормализованному уровню.</w:t>
      </w:r>
    </w:p>
    <w:p>
      <w:pPr>
        <w:pStyle w:val="Heading2"/>
        <w:widowControl/>
      </w:pPr>
      <w:r>
        <w:t>5.3. Прогнозирование FCFE</w:t>
      </w:r>
    </w:p>
    <w:p>
      <w:pPr>
        <w:widowControl/>
      </w:pPr>
      <w:r>
        <w:t>Прогноз свободного денежного потока формируется на период, достаточный для выхода компании на устойчивый уровень роста, рентабельности, капитальных вложений и долговой нагрузки. Продолжительность прогнозного периода определяется с учётом стадии жизненного цикла компании и доступности достоверной информации.</w:t>
      </w:r>
    </w:p>
    <w:p>
      <w:pPr>
        <w:widowControl/>
      </w:pPr>
      <w:r>
        <w:t>При прогнозировании учитываются:</w:t>
      </w:r>
    </w:p>
    <w:p>
      <w:pPr>
        <w:pStyle w:val="NoIndent"/>
        <w:ind w:left="425" w:hanging="283"/>
        <w:widowControl/>
      </w:pPr>
      <w:r>
        <w:t xml:space="preserve">• </w:t>
      </w:r>
      <w:r>
        <w:t>темпы роста выручки, объёмы продаж и изменение цен;</w:t>
      </w:r>
    </w:p>
    <w:p>
      <w:pPr>
        <w:pStyle w:val="NoIndent"/>
        <w:ind w:left="425" w:hanging="283"/>
        <w:widowControl/>
      </w:pPr>
      <w:r>
        <w:t xml:space="preserve">• </w:t>
      </w:r>
      <w:r>
        <w:t>операционная и чистая рентабельность, налоговая нагрузка и структура расходов;</w:t>
      </w:r>
    </w:p>
    <w:p>
      <w:pPr>
        <w:pStyle w:val="NoIndent"/>
        <w:ind w:left="425" w:hanging="283"/>
        <w:widowControl/>
      </w:pPr>
      <w:r>
        <w:t xml:space="preserve">• </w:t>
      </w:r>
      <w:r>
        <w:t>потребность в капитальных вложениях и соотношение капитальных затрат и амортизации;</w:t>
      </w:r>
    </w:p>
    <w:p>
      <w:pPr>
        <w:pStyle w:val="NoIndent"/>
        <w:ind w:left="425" w:hanging="283"/>
        <w:widowControl/>
      </w:pPr>
      <w:r>
        <w:t xml:space="preserve">• </w:t>
      </w:r>
      <w:r>
        <w:t>изменение запасов, дебиторской и кредиторской задолженности;</w:t>
      </w:r>
    </w:p>
    <w:p>
      <w:pPr>
        <w:pStyle w:val="NoIndent"/>
        <w:ind w:left="425" w:hanging="283"/>
        <w:widowControl/>
      </w:pPr>
      <w:r>
        <w:t xml:space="preserve">• </w:t>
      </w:r>
      <w:r>
        <w:t>планируемое привлечение и погашение долгового финансирования;</w:t>
      </w:r>
    </w:p>
    <w:p>
      <w:pPr>
        <w:pStyle w:val="NoIndent"/>
        <w:ind w:left="425" w:hanging="283"/>
        <w:widowControl/>
      </w:pPr>
      <w:r>
        <w:t xml:space="preserve">• </w:t>
      </w:r>
      <w:r>
        <w:t>влияние разовых операций, реструктуризации, продажи активов и иных неповторяющихся факторов;</w:t>
      </w:r>
    </w:p>
    <w:p>
      <w:pPr>
        <w:pStyle w:val="NoIndent"/>
        <w:ind w:left="425" w:hanging="283"/>
        <w:widowControl/>
      </w:pPr>
      <w:r>
        <w:t xml:space="preserve">• </w:t>
      </w:r>
      <w:r>
        <w:t>возможное разводнение долей акционеров вследствие дополнительной эмиссии, исполнения опционов или конвертации финансовых инструментов.</w:t>
      </w:r>
    </w:p>
    <w:p>
      <w:pPr>
        <w:widowControl/>
      </w:pPr>
      <w:r>
        <w:t>Отрицательное значение FCFE в отдельных прогнозных периодах допускается, если оно обусловлено инвестиционной стадией развития компании и существует экономически обоснованный прогноз перехода к положительному устойчивому денежному потоку.</w:t>
      </w:r>
    </w:p>
    <w:p>
      <w:pPr>
        <w:pStyle w:val="Heading2"/>
        <w:widowControl/>
      </w:pPr>
      <w:r>
        <w:t>5.4. Расчёт стоимости собственного капитала</w:t>
      </w:r>
    </w:p>
    <w:p>
      <w:pPr>
        <w:widowControl/>
      </w:pPr>
      <w:r>
        <w:t>Справедливая стоимость собственного капитала определяется как сумма приведённой стоимости прогнозируемых свободных денежных потоков и приведённой терминальной стоимости:</w:t>
      </w:r>
    </w:p>
    <w:p>
      <w:pPr>
        <w:pStyle w:val="Formula"/>
        <w:widowControl/>
      </w:pPr>
      <w:r>
        <w:t>FVEquity = Σₜ₌₁ⁿ [FCFEₜ / (1 + Rₑ)ᵗ] + TVₙ / (1 + Rₑ)ⁿ,</w:t>
      </w:r>
    </w:p>
    <w:p>
      <w:pPr>
        <w:pStyle w:val="NoIndent"/>
        <w:ind w:left="425"/>
        <w:widowControl/>
      </w:pPr>
      <w:r>
        <w:rPr>
          <w:i/>
        </w:rPr>
        <w:t xml:space="preserve">FVEquity — </w:t>
      </w:r>
      <w:r>
        <w:t>справедливая стоимость собственного капитала компании;</w:t>
      </w:r>
    </w:p>
    <w:p>
      <w:pPr>
        <w:pStyle w:val="NoIndent"/>
        <w:ind w:left="425"/>
        <w:widowControl/>
      </w:pPr>
      <w:r>
        <w:rPr>
          <w:i/>
        </w:rPr>
        <w:t xml:space="preserve">FCFEₜ — </w:t>
      </w:r>
      <w:r>
        <w:t>прогнозируемый свободный денежный поток на собственный капитал в периоде t;</w:t>
      </w:r>
    </w:p>
    <w:p>
      <w:pPr>
        <w:pStyle w:val="NoIndent"/>
        <w:ind w:left="425"/>
        <w:widowControl/>
      </w:pPr>
      <w:r>
        <w:rPr>
          <w:i/>
        </w:rPr>
        <w:t xml:space="preserve">Rₑ — </w:t>
      </w:r>
      <w:r>
        <w:t>ставка дисконтирования, определённая по модели CAPM;</w:t>
      </w:r>
    </w:p>
    <w:p>
      <w:pPr>
        <w:pStyle w:val="NoIndent"/>
        <w:ind w:left="425"/>
        <w:widowControl/>
      </w:pPr>
      <w:r>
        <w:rPr>
          <w:i/>
        </w:rPr>
        <w:t xml:space="preserve">TVₙ — </w:t>
      </w:r>
      <w:r>
        <w:t>терминальная стоимость собственного капитала на конец прогнозного периода;</w:t>
      </w:r>
    </w:p>
    <w:p>
      <w:pPr>
        <w:pStyle w:val="NoIndent"/>
        <w:ind w:left="425"/>
        <w:widowControl/>
      </w:pPr>
      <w:r>
        <w:rPr>
          <w:i/>
        </w:rPr>
        <w:t xml:space="preserve">n — </w:t>
      </w:r>
      <w:r>
        <w:t>количество прогнозных периодов.</w:t>
      </w:r>
    </w:p>
    <w:p>
      <w:pPr>
        <w:widowControl/>
      </w:pPr>
      <w:r>
        <w:t>При предположении постоянного устойчивого роста после окончания прогнозного периода терминальная стоимость определяется по формуле:</w:t>
      </w:r>
    </w:p>
    <w:p>
      <w:pPr>
        <w:pStyle w:val="Formula"/>
        <w:widowControl/>
      </w:pPr>
      <w:r>
        <w:t>TVₙ = FCFEₙ₊₁ / (Rₑ − g),</w:t>
      </w:r>
    </w:p>
    <w:p>
      <w:pPr>
        <w:pStyle w:val="Formula"/>
        <w:widowControl/>
      </w:pPr>
      <w:r>
        <w:t>FCFEₙ₊₁ = FCFEₙ × (1 + g),</w:t>
      </w:r>
    </w:p>
    <w:p>
      <w:pPr>
        <w:pStyle w:val="NoIndent"/>
        <w:ind w:left="425"/>
        <w:widowControl/>
      </w:pPr>
      <w:r>
        <w:rPr>
          <w:i/>
        </w:rPr>
        <w:t xml:space="preserve">g — </w:t>
      </w:r>
      <w:r>
        <w:t>устойчивый долгосрочный темп роста свободного денежного потока.</w:t>
      </w:r>
    </w:p>
    <w:p>
      <w:pPr>
        <w:widowControl/>
      </w:pPr>
      <w:r>
        <w:t>При расчёте терминальной стоимости денежный поток последнего прогнозного периода должен отражать нормализованный уровень рентабельности, капитальных затрат, оборотного капитала и чистого долгового финансирования. Должно выполняться условие Rₑ &gt; g.</w:t>
      </w:r>
    </w:p>
    <w:p>
      <w:pPr>
        <w:widowControl/>
      </w:pPr>
      <w:r>
        <w:t>Если компания не достигла положительного устойчивого FCFE к концу прогнозного периода, применение терминальной модели постоянного роста не допускается до момента, когда денежный поток может быть экономически обоснованно нормализован.</w:t>
      </w:r>
    </w:p>
    <w:p>
      <w:pPr>
        <w:pStyle w:val="Heading1"/>
        <w:widowControl/>
      </w:pPr>
      <w:r>
        <w:t>6. Определение справедливой стоимости одной акции и пакета акций</w:t>
      </w:r>
    </w:p>
    <w:p>
      <w:pPr>
        <w:widowControl/>
      </w:pPr>
      <w:r>
        <w:t>После определения справедливой стоимости собственного капитала рассчитывается стоимость, относящаяся к владельцам обыкновенных акций. При наличии привилегированных акций и неконтролирующей доли участия их справедливая стоимость вычитается из рассчитанной стоимости собственного капитала.</w:t>
      </w:r>
    </w:p>
    <w:p>
      <w:pPr>
        <w:pStyle w:val="Formula"/>
        <w:widowControl/>
      </w:pPr>
      <w:r>
        <w:t>P₀ = (FVEquity − FVPreferred − NCI) / NFD,</w:t>
      </w:r>
    </w:p>
    <w:p>
      <w:pPr>
        <w:pStyle w:val="NoIndent"/>
        <w:ind w:left="425"/>
        <w:widowControl/>
      </w:pPr>
      <w:r>
        <w:rPr>
          <w:i/>
        </w:rPr>
        <w:t xml:space="preserve">P₀ — </w:t>
      </w:r>
      <w:r>
        <w:t>справедливая стоимость одной обыкновенной акции;</w:t>
      </w:r>
    </w:p>
    <w:p>
      <w:pPr>
        <w:pStyle w:val="NoIndent"/>
        <w:ind w:left="425"/>
        <w:widowControl/>
      </w:pPr>
      <w:r>
        <w:rPr>
          <w:i/>
        </w:rPr>
        <w:t xml:space="preserve">FVPreferred — </w:t>
      </w:r>
      <w:r>
        <w:t>справедливая стоимость требований владельцев привилегированных акций;</w:t>
      </w:r>
    </w:p>
    <w:p>
      <w:pPr>
        <w:pStyle w:val="NoIndent"/>
        <w:ind w:left="425"/>
        <w:widowControl/>
      </w:pPr>
      <w:r>
        <w:rPr>
          <w:i/>
        </w:rPr>
        <w:t xml:space="preserve">NCI — </w:t>
      </w:r>
      <w:r>
        <w:t>справедливая стоимость неконтролирующей доли участия;</w:t>
      </w:r>
    </w:p>
    <w:p>
      <w:pPr>
        <w:pStyle w:val="NoIndent"/>
        <w:ind w:left="425"/>
        <w:widowControl/>
      </w:pPr>
      <w:r>
        <w:rPr>
          <w:i/>
        </w:rPr>
        <w:t xml:space="preserve">NFD — </w:t>
      </w:r>
      <w:r>
        <w:t>разводнённое количество обыкновенных акций в обращении.</w:t>
      </w:r>
    </w:p>
    <w:p>
      <w:pPr>
        <w:widowControl/>
      </w:pPr>
      <w:r>
        <w:t>При отсутствии привилегированных акций, неконтролирующей доли участия и потенциального разводнения справедливая стоимость одной акции определяется делением стоимости собственного капитала на фактическое количество обыкновенных акций в обращении.</w:t>
      </w:r>
    </w:p>
    <w:p>
      <w:pPr>
        <w:widowControl/>
      </w:pPr>
      <w:r>
        <w:t>Справедливая стоимость принадлежащего организации пакета акций определяется по формуле:</w:t>
      </w:r>
    </w:p>
    <w:p>
      <w:pPr>
        <w:pStyle w:val="Formula"/>
        <w:widowControl/>
      </w:pPr>
      <w:r>
        <w:t>FVPackage = P₀ × NPackage,</w:t>
      </w:r>
    </w:p>
    <w:p>
      <w:pPr>
        <w:pStyle w:val="NoIndent"/>
        <w:ind w:left="425"/>
        <w:widowControl/>
      </w:pPr>
      <w:r>
        <w:rPr>
          <w:i/>
        </w:rPr>
        <w:t xml:space="preserve">FVPackage — </w:t>
      </w:r>
      <w:r>
        <w:t>справедливая стоимость пакета акций;</w:t>
      </w:r>
    </w:p>
    <w:p>
      <w:pPr>
        <w:pStyle w:val="NoIndent"/>
        <w:ind w:left="425"/>
        <w:widowControl/>
      </w:pPr>
      <w:r>
        <w:rPr>
          <w:i/>
        </w:rPr>
        <w:t xml:space="preserve">NPackage — </w:t>
      </w:r>
      <w:r>
        <w:t>количество оцениваемых акций.</w:t>
      </w:r>
    </w:p>
    <w:p>
      <w:pPr>
        <w:widowControl/>
      </w:pPr>
      <w:r>
        <w:t>При наличии экономически обоснованных оснований к стоимости пакета могут применяться корректировки, учитывающие контрольный или неконтрольный характер участия, ограничения на обращение, отсутствие ликвидности и специальные права отдельных классов акций. Такие корректировки должны быть документально подтверждены и не должны дублировать риски, уже учтённые в ставке дисконтирования или прогнозируемых денежных потоках.</w:t>
      </w:r>
    </w:p>
    <w:p>
      <w:pPr>
        <w:pStyle w:val="Heading1"/>
        <w:widowControl/>
      </w:pPr>
      <w:r>
        <w:t>7. Проверка результатов и анализ чувствительности</w:t>
      </w:r>
    </w:p>
    <w:p>
      <w:pPr>
        <w:widowControl/>
      </w:pPr>
      <w:r>
        <w:t>Результаты оценки подлежат проверке на внутреннюю, финансовую и экономическую согласованность. Прогнозные показатели выручки, прибыли, капитальных затрат, оборотного капитала и долгового финансирования должны быть взаимосвязаны и соответствовать исходным предпосылкам.</w:t>
      </w:r>
    </w:p>
    <w:p>
      <w:pPr>
        <w:widowControl/>
      </w:pPr>
      <w:r>
        <w:t>Для модели Гордона проводится анализ чувствительности справедливой стоимости к изменению ставки дисконтирования Rₑ и долгосрочного темпа роста дивидендов g.</w:t>
      </w:r>
    </w:p>
    <w:p>
      <w:pPr>
        <w:widowControl/>
      </w:pPr>
      <w:r>
        <w:t>Для модели дисконтирования FCFE анализируется чувствительность стоимости к изменению ставки Rₑ, долгосрочного темпа роста g, темпов роста выручки, рентабельности, капитальных затрат, потребности в оборотном капитале и чистого долгового финансирования.</w:t>
      </w:r>
    </w:p>
    <w:p>
      <w:pPr>
        <w:widowControl/>
      </w:pPr>
      <w:r>
        <w:t>По ключевым параметрам формируются базовый, консервативный и оптимистичный сценарии. Особое внимание уделяется случаям, когда терминальная стоимость составляет существенную долю общей справедливой стоимости.</w:t>
      </w:r>
    </w:p>
    <w:p>
      <w:pPr>
        <w:widowControl/>
      </w:pPr>
      <w:r>
        <w:t>Полученный результат может сопоставляться с доступными индикаторами стоимости, включая стоимость чистых активов, исторические сделки с акциями эмитента и показатели сопоставимых публичных компаний. Существенные расхождения должны быть объяснены различиями в риске, рентабельности, темпах роста, структуре капитала или правах владельцев оцениваемых акций.</w:t>
      </w:r>
    </w:p>
    <w:p>
      <w:pPr>
        <w:pStyle w:val="Heading1"/>
        <w:widowControl/>
      </w:pPr>
      <w:r>
        <w:t>8. Ограничения применения моделей</w:t>
      </w:r>
    </w:p>
    <w:p>
      <w:pPr>
        <w:widowControl/>
      </w:pPr>
      <w:r>
        <w:t>Модель Гордона не применяется, если дивиденды отсутствуют, имеют нерегулярный характер, зависят преимущественно от разовых факторов либо ожидаемый темп их роста не может быть признан устойчивым.</w:t>
      </w:r>
    </w:p>
    <w:p>
      <w:pPr>
        <w:widowControl/>
      </w:pPr>
      <w:r>
        <w:t>Оценка по FCFE не должна основываться исключительно на механическом продолжении исторических темпов роста. Прогноз должен учитывать конкурентную среду, производственные ограничения, инвестиционные потребности, доступность долгового финансирования и способность компании поддерживать выбранную структуру капитала.</w:t>
      </w:r>
    </w:p>
    <w:p>
      <w:pPr>
        <w:widowControl/>
      </w:pPr>
      <w:r>
        <w:t>При отрицательных денежных потоках и отсутствии обоснованного плана выхода на положительный устойчивый FCFE применение терминальной модели постоянного роста не допускается.</w:t>
      </w:r>
    </w:p>
    <w:p>
      <w:pPr>
        <w:widowControl/>
      </w:pPr>
      <w:r>
        <w:t>Все исходные данные, источники информации, расчётные предпосылки и профессиональные суждения, использованные при определении справедливой стоимости, подлежат документированию. При изменении существенных предпосылок оценка должна быть пересмотрена.</w:t>
      </w:r>
    </w:p>
    <w:p>
      <w:pPr>
        <w:pStyle w:val="Heading1"/>
        <w:widowControl/>
      </w:pPr>
      <w:r>
        <w:t>9. Итоговый порядок расчёта</w:t>
      </w:r>
    </w:p>
    <w:p>
      <w:pPr>
        <w:widowControl/>
      </w:pPr>
      <w:r>
        <w:t>Определение справедливой стоимости акций при отсутствии рыночной котировки включает следующие этапы:</w:t>
      </w:r>
    </w:p>
    <w:p>
      <w:pPr>
        <w:pStyle w:val="NoIndent"/>
        <w:ind w:left="425" w:hanging="425"/>
        <w:widowControl/>
      </w:pPr>
      <w:r>
        <w:rPr>
          <w:b/>
        </w:rPr>
        <w:t xml:space="preserve">1. </w:t>
      </w:r>
      <w:r>
        <w:t>анализ наличия активного рынка и возможности использования наблюдаемых рыночных данных;</w:t>
      </w:r>
    </w:p>
    <w:p>
      <w:pPr>
        <w:pStyle w:val="NoIndent"/>
        <w:ind w:left="425" w:hanging="425"/>
        <w:widowControl/>
      </w:pPr>
      <w:r>
        <w:rPr>
          <w:b/>
        </w:rPr>
        <w:t xml:space="preserve">2. </w:t>
      </w:r>
      <w:r>
        <w:t>выбор модели оценки исходя из дивидендной политики и возможности прогнозирования FCFE;</w:t>
      </w:r>
    </w:p>
    <w:p>
      <w:pPr>
        <w:pStyle w:val="NoIndent"/>
        <w:ind w:left="425" w:hanging="425"/>
        <w:widowControl/>
      </w:pPr>
      <w:r>
        <w:rPr>
          <w:b/>
        </w:rPr>
        <w:t xml:space="preserve">3. </w:t>
      </w:r>
      <w:r>
        <w:t>формирование и документирование исходных данных и прогнозных предпосылок;</w:t>
      </w:r>
    </w:p>
    <w:p>
      <w:pPr>
        <w:pStyle w:val="NoIndent"/>
        <w:ind w:left="425" w:hanging="425"/>
        <w:widowControl/>
      </w:pPr>
      <w:r>
        <w:rPr>
          <w:b/>
        </w:rPr>
        <w:t xml:space="preserve">4. </w:t>
      </w:r>
      <w:r>
        <w:t>определение ставки дисконтирования по модели CAPM;</w:t>
      </w:r>
    </w:p>
    <w:p>
      <w:pPr>
        <w:pStyle w:val="NoIndent"/>
        <w:ind w:left="425" w:hanging="425"/>
        <w:widowControl/>
      </w:pPr>
      <w:r>
        <w:rPr>
          <w:b/>
        </w:rPr>
        <w:t xml:space="preserve">5. </w:t>
      </w:r>
      <w:r>
        <w:t>расчёт справедливой стоимости по модели Гордона либо методом дисконтирования FCFE;</w:t>
      </w:r>
    </w:p>
    <w:p>
      <w:pPr>
        <w:pStyle w:val="NoIndent"/>
        <w:ind w:left="425" w:hanging="425"/>
        <w:widowControl/>
      </w:pPr>
      <w:r>
        <w:rPr>
          <w:b/>
        </w:rPr>
        <w:t xml:space="preserve">6. </w:t>
      </w:r>
      <w:r>
        <w:t>определение стоимости одной акции и принадлежащего организации пакета акций;</w:t>
      </w:r>
    </w:p>
    <w:p>
      <w:pPr>
        <w:pStyle w:val="NoIndent"/>
        <w:ind w:left="425" w:hanging="425"/>
        <w:widowControl/>
      </w:pPr>
      <w:r>
        <w:rPr>
          <w:b/>
        </w:rPr>
        <w:t xml:space="preserve">7. </w:t>
      </w:r>
      <w:r>
        <w:t>проведение сценарного анализа, проверки чувствительности и экономической обоснованности результата.</w:t>
      </w:r>
    </w:p>
    <w:sectPr w:rsidR="00FC693F" w:rsidRPr="0006063C" w:rsidSect="00034616">
      <w:footerReference w:type="default" r:id="rId9"/>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Indent"/>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jc w:val="left"/>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40"/>
      <w:ind w:firstLine="0"/>
      <w:jc w:val="left"/>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Times New Roman" w:hAnsi="Times New Roman" w:eastAsia="Times New Roman"/>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keepLines/>
      <w:spacing w:before="80" w:after="80"/>
      <w:ind w:firstLine="0"/>
      <w:jc w:val="center"/>
    </w:pPr>
    <w:rPr>
      <w:rFonts w:ascii="Cambria Math" w:hAnsi="Cambria Math" w:eastAsia="Cambria Math"/>
      <w:sz w:val="24"/>
    </w:rPr>
  </w:style>
  <w:style w:type="paragraph" w:customStyle="1" w:styleId="NoIndent">
    <w:name w:val="No Indent"/>
    <w:pPr>
      <w:spacing w:line="276" w:lineRule="auto" w:after="0"/>
      <w:ind w:firstLine="0"/>
      <w:jc w:val="both"/>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Методика определения справедливой стоимости акций при отсутствии рыночной котировки</dc:title>
  <dc:subject>Модель Гордона, CAPM и FCFE</dc:subject>
  <dc:creator>OpenAI</dc:creator>
  <cp:keywords>справедливая стоимость акций, CAPM, модель Гордона, FCFE</cp:keywords>
  <dc:description>generated by python-docx</dc:description>
  <cp:lastModifiedBy/>
  <cp:revision>1</cp:revision>
  <dcterms:created xsi:type="dcterms:W3CDTF">2013-12-23T23:15:00Z</dcterms:created>
  <dcterms:modified xsi:type="dcterms:W3CDTF">2013-12-23T23:15:00Z</dcterms:modified>
  <cp:category/>
</cp:coreProperties>
</file>