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№14. Ограничения и условные конструкции CASE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Выполненные задания</w:t>
      </w:r>
    </w:p>
    <w:p>
      <w:pPr>
        <w:spacing w:after="120" w:line="276" w:lineRule="auto"/>
      </w:pPr>
      <w:r>
        <w:rPr>
          <w:sz w:val="22"/>
        </w:rPr>
        <w:t>В скрипте 01_constraints.sql отработано применение условного оператора CASE WHEN ... THEN ... ELSE ... END и функции COALESCE() для замены NULL на читаемый текст при выводе отчёта по ценовым сегментам товаров.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Работа с ограничениями и условной логикой CASE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