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29600" w14:textId="3E715F42" w:rsidR="00D8413D" w:rsidRDefault="00D8413D" w:rsidP="00D8413D"/>
    <w:p w14:paraId="1E6037FA" w14:textId="2E55D2D1" w:rsidR="00D8413D" w:rsidRPr="00775B8F" w:rsidRDefault="00D8413D" w:rsidP="00D8413D">
      <w:pPr>
        <w:rPr>
          <w:b/>
          <w:bCs/>
        </w:rPr>
      </w:pPr>
      <w:r w:rsidRPr="00775B8F">
        <w:rPr>
          <w:b/>
          <w:bCs/>
        </w:rPr>
        <w:t>Observable Trends Based on Data:</w:t>
      </w:r>
    </w:p>
    <w:p w14:paraId="2D8562BC" w14:textId="79BF636C" w:rsidR="00D8413D" w:rsidRDefault="00D8413D" w:rsidP="00D8413D">
      <w:pPr>
        <w:pStyle w:val="ListParagraph"/>
        <w:numPr>
          <w:ilvl w:val="0"/>
          <w:numId w:val="1"/>
        </w:numPr>
      </w:pPr>
      <w:r>
        <w:t xml:space="preserve">Comparing the 5 top performing schools with 5 bottom performing schools, we can see that the </w:t>
      </w:r>
      <w:r w:rsidR="00156A98">
        <w:t xml:space="preserve">5 schools with best percentage overall passing are all Charter type school, while the bottom performing schools are district type. </w:t>
      </w:r>
      <w:r w:rsidR="00775B8F">
        <w:t>Based on the summary below, w</w:t>
      </w:r>
      <w:r w:rsidR="00156A98">
        <w:t xml:space="preserve">e can also see </w:t>
      </w:r>
      <w:r w:rsidR="00775B8F">
        <w:t>that:</w:t>
      </w:r>
    </w:p>
    <w:p w14:paraId="3E56204B" w14:textId="38ED898D" w:rsidR="00775B8F" w:rsidRDefault="00775B8F" w:rsidP="00775B8F">
      <w:pPr>
        <w:pStyle w:val="ListParagraph"/>
        <w:numPr>
          <w:ilvl w:val="0"/>
          <w:numId w:val="2"/>
        </w:numPr>
      </w:pPr>
      <w:r>
        <w:t>Total students of District type schools are significantly higher than Charter type schools</w:t>
      </w:r>
    </w:p>
    <w:p w14:paraId="0BC2C1DD" w14:textId="6AA031CE" w:rsidR="00775B8F" w:rsidRDefault="00775B8F" w:rsidP="00775B8F">
      <w:pPr>
        <w:pStyle w:val="ListParagraph"/>
        <w:numPr>
          <w:ilvl w:val="0"/>
          <w:numId w:val="2"/>
        </w:numPr>
      </w:pPr>
      <w:r>
        <w:t>Total budget of District type schools are significantly higher than Charter type schools</w:t>
      </w:r>
    </w:p>
    <w:p w14:paraId="1EA3A0E0" w14:textId="5AF04F0F" w:rsidR="00775B8F" w:rsidRDefault="0054238A" w:rsidP="0054238A">
      <w:pPr>
        <w:ind w:left="720"/>
      </w:pPr>
      <w:r>
        <w:t>With District type schools ranked bottom performing, we can conclude that with higher amount of budget per student, it does not help students to perform better in math and reading tests</w:t>
      </w:r>
      <w:r w:rsidR="00580C2F">
        <w:t xml:space="preserve"> or both</w:t>
      </w:r>
      <w:r>
        <w:t xml:space="preserve">. </w:t>
      </w:r>
    </w:p>
    <w:tbl>
      <w:tblPr>
        <w:tblStyle w:val="TableGrid"/>
        <w:tblW w:w="0" w:type="auto"/>
        <w:tblLook w:val="04A0" w:firstRow="1" w:lastRow="0" w:firstColumn="1" w:lastColumn="0" w:noHBand="0" w:noVBand="1"/>
      </w:tblPr>
      <w:tblGrid>
        <w:gridCol w:w="1590"/>
        <w:gridCol w:w="1572"/>
        <w:gridCol w:w="1613"/>
        <w:gridCol w:w="1820"/>
        <w:gridCol w:w="1501"/>
        <w:gridCol w:w="1254"/>
      </w:tblGrid>
      <w:tr w:rsidR="00775B8F" w14:paraId="7CE2CD80" w14:textId="40ED8FAB" w:rsidTr="00775B8F">
        <w:tc>
          <w:tcPr>
            <w:tcW w:w="1590" w:type="dxa"/>
          </w:tcPr>
          <w:p w14:paraId="4F12BB52" w14:textId="211F9AAD" w:rsidR="00775B8F" w:rsidRPr="003302A4" w:rsidRDefault="00775B8F" w:rsidP="00774686">
            <w:pPr>
              <w:jc w:val="center"/>
              <w:rPr>
                <w:b/>
                <w:bCs/>
              </w:rPr>
            </w:pPr>
            <w:r w:rsidRPr="003302A4">
              <w:rPr>
                <w:b/>
                <w:bCs/>
              </w:rPr>
              <w:t>Ranking</w:t>
            </w:r>
          </w:p>
        </w:tc>
        <w:tc>
          <w:tcPr>
            <w:tcW w:w="1572" w:type="dxa"/>
          </w:tcPr>
          <w:p w14:paraId="1CA91900" w14:textId="08EC9BD2" w:rsidR="00775B8F" w:rsidRPr="003302A4" w:rsidRDefault="00775B8F" w:rsidP="00774686">
            <w:pPr>
              <w:jc w:val="center"/>
              <w:rPr>
                <w:b/>
                <w:bCs/>
              </w:rPr>
            </w:pPr>
            <w:r w:rsidRPr="003302A4">
              <w:rPr>
                <w:b/>
                <w:bCs/>
              </w:rPr>
              <w:t>School Type</w:t>
            </w:r>
          </w:p>
        </w:tc>
        <w:tc>
          <w:tcPr>
            <w:tcW w:w="1613" w:type="dxa"/>
          </w:tcPr>
          <w:p w14:paraId="2FD2499E" w14:textId="77777777" w:rsidR="00775B8F" w:rsidRDefault="00775B8F" w:rsidP="00774686">
            <w:pPr>
              <w:jc w:val="center"/>
              <w:rPr>
                <w:b/>
                <w:bCs/>
              </w:rPr>
            </w:pPr>
            <w:r w:rsidRPr="003302A4">
              <w:rPr>
                <w:b/>
                <w:bCs/>
              </w:rPr>
              <w:t>Total Students</w:t>
            </w:r>
          </w:p>
          <w:p w14:paraId="1E30D12B" w14:textId="3B72DCBF" w:rsidR="00775B8F" w:rsidRPr="003302A4" w:rsidRDefault="00775B8F" w:rsidP="00774686">
            <w:pPr>
              <w:jc w:val="center"/>
              <w:rPr>
                <w:b/>
                <w:bCs/>
              </w:rPr>
            </w:pPr>
            <w:r>
              <w:rPr>
                <w:b/>
                <w:bCs/>
              </w:rPr>
              <w:t>of 5 schools</w:t>
            </w:r>
          </w:p>
        </w:tc>
        <w:tc>
          <w:tcPr>
            <w:tcW w:w="1820" w:type="dxa"/>
          </w:tcPr>
          <w:p w14:paraId="51D532FD" w14:textId="492B80EB" w:rsidR="00775B8F" w:rsidRPr="003302A4" w:rsidRDefault="00775B8F" w:rsidP="00774686">
            <w:pPr>
              <w:jc w:val="center"/>
              <w:rPr>
                <w:b/>
                <w:bCs/>
              </w:rPr>
            </w:pPr>
            <w:r w:rsidRPr="003302A4">
              <w:rPr>
                <w:b/>
                <w:bCs/>
              </w:rPr>
              <w:t>Total Budget</w:t>
            </w:r>
            <w:r>
              <w:rPr>
                <w:b/>
                <w:bCs/>
              </w:rPr>
              <w:t xml:space="preserve"> of 5 schools</w:t>
            </w:r>
          </w:p>
        </w:tc>
        <w:tc>
          <w:tcPr>
            <w:tcW w:w="1501" w:type="dxa"/>
          </w:tcPr>
          <w:p w14:paraId="7B1201FA" w14:textId="0B70A46B" w:rsidR="00775B8F" w:rsidRPr="003302A4" w:rsidRDefault="00775B8F" w:rsidP="00774686">
            <w:pPr>
              <w:jc w:val="center"/>
              <w:rPr>
                <w:b/>
                <w:bCs/>
              </w:rPr>
            </w:pPr>
            <w:r>
              <w:rPr>
                <w:b/>
                <w:bCs/>
              </w:rPr>
              <w:t xml:space="preserve">Avg </w:t>
            </w:r>
            <w:r w:rsidRPr="003302A4">
              <w:rPr>
                <w:b/>
                <w:bCs/>
              </w:rPr>
              <w:t>%Overall Passing</w:t>
            </w:r>
            <w:r>
              <w:rPr>
                <w:b/>
                <w:bCs/>
              </w:rPr>
              <w:t xml:space="preserve"> of 5 schools</w:t>
            </w:r>
          </w:p>
        </w:tc>
        <w:tc>
          <w:tcPr>
            <w:tcW w:w="1254" w:type="dxa"/>
          </w:tcPr>
          <w:p w14:paraId="74AD7743" w14:textId="189E0548" w:rsidR="00775B8F" w:rsidRDefault="00775B8F" w:rsidP="00774686">
            <w:pPr>
              <w:jc w:val="center"/>
              <w:rPr>
                <w:b/>
                <w:bCs/>
              </w:rPr>
            </w:pPr>
            <w:r>
              <w:rPr>
                <w:b/>
                <w:bCs/>
              </w:rPr>
              <w:t>Per Student Budget</w:t>
            </w:r>
          </w:p>
        </w:tc>
      </w:tr>
      <w:tr w:rsidR="00EC43AF" w14:paraId="50BF5154" w14:textId="3DC5294B" w:rsidTr="00775B8F">
        <w:tc>
          <w:tcPr>
            <w:tcW w:w="1590" w:type="dxa"/>
          </w:tcPr>
          <w:p w14:paraId="35BA846F" w14:textId="4BEFCE0F" w:rsidR="00EC43AF" w:rsidRDefault="00EC43AF" w:rsidP="00EC43AF">
            <w:pPr>
              <w:jc w:val="center"/>
            </w:pPr>
            <w:r>
              <w:t>Top 5</w:t>
            </w:r>
          </w:p>
        </w:tc>
        <w:tc>
          <w:tcPr>
            <w:tcW w:w="1572" w:type="dxa"/>
          </w:tcPr>
          <w:p w14:paraId="4F7773AF" w14:textId="49C0F4E8" w:rsidR="00EC43AF" w:rsidRDefault="00EC43AF" w:rsidP="00EC43AF">
            <w:pPr>
              <w:jc w:val="center"/>
            </w:pPr>
            <w:r>
              <w:t>Charter</w:t>
            </w:r>
          </w:p>
        </w:tc>
        <w:tc>
          <w:tcPr>
            <w:tcW w:w="1613" w:type="dxa"/>
          </w:tcPr>
          <w:p w14:paraId="349DE6DA" w14:textId="0A8051DC" w:rsidR="00EC43AF" w:rsidRDefault="00EC43AF" w:rsidP="00EC43AF">
            <w:pPr>
              <w:jc w:val="center"/>
            </w:pPr>
            <w:r>
              <w:t>8,206</w:t>
            </w:r>
          </w:p>
        </w:tc>
        <w:tc>
          <w:tcPr>
            <w:tcW w:w="1820" w:type="dxa"/>
          </w:tcPr>
          <w:p w14:paraId="28AE10B7" w14:textId="77D115C6" w:rsidR="00EC43AF" w:rsidRDefault="00EC43AF" w:rsidP="00EC43AF">
            <w:pPr>
              <w:jc w:val="center"/>
            </w:pPr>
            <w:r>
              <w:t>$4,947,418</w:t>
            </w:r>
          </w:p>
        </w:tc>
        <w:tc>
          <w:tcPr>
            <w:tcW w:w="1501" w:type="dxa"/>
          </w:tcPr>
          <w:p w14:paraId="38C3F5F4" w14:textId="2B3D3741" w:rsidR="00EC43AF" w:rsidRDefault="00EC43AF" w:rsidP="00EC43AF">
            <w:pPr>
              <w:jc w:val="center"/>
            </w:pPr>
            <w:r>
              <w:t>%90.79</w:t>
            </w:r>
          </w:p>
        </w:tc>
        <w:tc>
          <w:tcPr>
            <w:tcW w:w="1254" w:type="dxa"/>
          </w:tcPr>
          <w:p w14:paraId="4FCE0813" w14:textId="667D88DC" w:rsidR="00EC43AF" w:rsidRDefault="00EC43AF" w:rsidP="00EC43AF">
            <w:pPr>
              <w:jc w:val="center"/>
            </w:pPr>
            <w:r>
              <w:t>$602.90</w:t>
            </w:r>
          </w:p>
        </w:tc>
      </w:tr>
      <w:tr w:rsidR="00EC43AF" w14:paraId="4BF026C3" w14:textId="2E1894F9" w:rsidTr="00775B8F">
        <w:tc>
          <w:tcPr>
            <w:tcW w:w="1590" w:type="dxa"/>
          </w:tcPr>
          <w:p w14:paraId="23F2A71B" w14:textId="78F84E5D" w:rsidR="00EC43AF" w:rsidRDefault="00EC43AF" w:rsidP="00EC43AF">
            <w:pPr>
              <w:jc w:val="center"/>
            </w:pPr>
            <w:r>
              <w:t>Bottom 5</w:t>
            </w:r>
          </w:p>
        </w:tc>
        <w:tc>
          <w:tcPr>
            <w:tcW w:w="1572" w:type="dxa"/>
          </w:tcPr>
          <w:p w14:paraId="2F01772C" w14:textId="68E33BF2" w:rsidR="00EC43AF" w:rsidRDefault="00EC43AF" w:rsidP="00EC43AF">
            <w:pPr>
              <w:jc w:val="center"/>
            </w:pPr>
            <w:r>
              <w:t>District</w:t>
            </w:r>
          </w:p>
        </w:tc>
        <w:tc>
          <w:tcPr>
            <w:tcW w:w="1613" w:type="dxa"/>
          </w:tcPr>
          <w:p w14:paraId="6645ADF2" w14:textId="707F9DFC" w:rsidR="00EC43AF" w:rsidRDefault="00EC43AF" w:rsidP="00EC43AF">
            <w:pPr>
              <w:jc w:val="center"/>
            </w:pPr>
            <w:r>
              <w:t>19,261</w:t>
            </w:r>
          </w:p>
        </w:tc>
        <w:tc>
          <w:tcPr>
            <w:tcW w:w="1820" w:type="dxa"/>
          </w:tcPr>
          <w:p w14:paraId="1A2F0A63" w14:textId="6ADCBC0A" w:rsidR="00EC43AF" w:rsidRDefault="00EC43AF" w:rsidP="00EC43AF">
            <w:pPr>
              <w:jc w:val="center"/>
            </w:pPr>
            <w:r>
              <w:t>$12,459,079</w:t>
            </w:r>
          </w:p>
        </w:tc>
        <w:tc>
          <w:tcPr>
            <w:tcW w:w="1501" w:type="dxa"/>
          </w:tcPr>
          <w:p w14:paraId="19AE39E8" w14:textId="3126B043" w:rsidR="00EC43AF" w:rsidRDefault="00EC43AF" w:rsidP="00EC43AF">
            <w:pPr>
              <w:jc w:val="center"/>
            </w:pPr>
            <w:r>
              <w:t>%53.34</w:t>
            </w:r>
          </w:p>
        </w:tc>
        <w:tc>
          <w:tcPr>
            <w:tcW w:w="1254" w:type="dxa"/>
          </w:tcPr>
          <w:p w14:paraId="0017E6A8" w14:textId="3444D215" w:rsidR="00EC43AF" w:rsidRDefault="00EC43AF" w:rsidP="00EC43AF">
            <w:pPr>
              <w:jc w:val="center"/>
            </w:pPr>
            <w:r>
              <w:t>$646.85</w:t>
            </w:r>
          </w:p>
        </w:tc>
      </w:tr>
    </w:tbl>
    <w:p w14:paraId="5BE67B9F" w14:textId="3421649E" w:rsidR="0054238A" w:rsidRDefault="0054238A" w:rsidP="0054238A"/>
    <w:p w14:paraId="001DE3C9" w14:textId="2BDF61D1" w:rsidR="0054238A" w:rsidRDefault="00A7673B" w:rsidP="0054238A">
      <w:pPr>
        <w:pStyle w:val="ListParagraph"/>
        <w:numPr>
          <w:ilvl w:val="0"/>
          <w:numId w:val="1"/>
        </w:numPr>
      </w:pPr>
      <w:r>
        <w:t>In addition, w</w:t>
      </w:r>
      <w:r w:rsidR="000D0452">
        <w:t>e can also see that schools with the higher student population scores significantly lower in math</w:t>
      </w:r>
      <w:r>
        <w:t xml:space="preserve"> compares to reading</w:t>
      </w:r>
      <w:r w:rsidR="000D0452">
        <w:t xml:space="preserve">, which brings down the overall passing rate. </w:t>
      </w:r>
      <w:r w:rsidR="00097941">
        <w:t xml:space="preserve">However, it is too early to question the effectiveness of our math programs for large schools, there could be hidden factors such as students demographics and backgrounds or even discrepancies in data that might result the </w:t>
      </w:r>
      <w:r w:rsidR="000708E8">
        <w:t>% passing math to be low.</w:t>
      </w:r>
    </w:p>
    <w:p w14:paraId="7100BD4E" w14:textId="6B9057D6" w:rsidR="009A2FAB" w:rsidRPr="009A2FAB" w:rsidRDefault="009A2FAB" w:rsidP="009A2FAB">
      <w:pPr>
        <w:rPr>
          <w:b/>
          <w:bCs/>
        </w:rPr>
      </w:pPr>
    </w:p>
    <w:tbl>
      <w:tblPr>
        <w:tblStyle w:val="TableGrid"/>
        <w:tblW w:w="0" w:type="auto"/>
        <w:tblLook w:val="04A0" w:firstRow="1" w:lastRow="0" w:firstColumn="1" w:lastColumn="0" w:noHBand="0" w:noVBand="1"/>
      </w:tblPr>
      <w:tblGrid>
        <w:gridCol w:w="2368"/>
        <w:gridCol w:w="2437"/>
        <w:gridCol w:w="2108"/>
        <w:gridCol w:w="2437"/>
      </w:tblGrid>
      <w:tr w:rsidR="009A2FAB" w:rsidRPr="009A2FAB" w14:paraId="5876CC62" w14:textId="77777777" w:rsidTr="00A7673B">
        <w:tc>
          <w:tcPr>
            <w:tcW w:w="2368" w:type="dxa"/>
          </w:tcPr>
          <w:p w14:paraId="6FC59492" w14:textId="77777777" w:rsidR="009A2FAB" w:rsidRPr="009A2FAB" w:rsidRDefault="009A2FAB" w:rsidP="009A2FAB">
            <w:pPr>
              <w:rPr>
                <w:rFonts w:cstheme="minorHAnsi"/>
                <w:b/>
                <w:bCs/>
                <w:color w:val="000000"/>
              </w:rPr>
            </w:pPr>
            <w:r w:rsidRPr="009A2FAB">
              <w:rPr>
                <w:rFonts w:cstheme="minorHAnsi"/>
                <w:b/>
                <w:bCs/>
                <w:color w:val="000000"/>
              </w:rPr>
              <w:t>School Size</w:t>
            </w:r>
          </w:p>
          <w:p w14:paraId="2AEF9330" w14:textId="77777777" w:rsidR="009A2FAB" w:rsidRPr="009A2FAB" w:rsidRDefault="009A2FAB" w:rsidP="009A2FAB">
            <w:pPr>
              <w:rPr>
                <w:rFonts w:cstheme="minorHAnsi"/>
                <w:b/>
                <w:bCs/>
              </w:rPr>
            </w:pPr>
          </w:p>
        </w:tc>
        <w:tc>
          <w:tcPr>
            <w:tcW w:w="2437" w:type="dxa"/>
          </w:tcPr>
          <w:p w14:paraId="43EE71C1" w14:textId="52EDE902" w:rsidR="009A2FAB" w:rsidRPr="009A2FAB" w:rsidRDefault="009A2FAB" w:rsidP="009A2FAB">
            <w:pPr>
              <w:rPr>
                <w:rFonts w:cstheme="minorHAnsi"/>
                <w:b/>
                <w:bCs/>
              </w:rPr>
            </w:pPr>
            <w:r w:rsidRPr="009A2FAB">
              <w:rPr>
                <w:rFonts w:cstheme="minorHAnsi"/>
                <w:b/>
                <w:bCs/>
                <w:color w:val="000000"/>
                <w:shd w:val="clear" w:color="auto" w:fill="FFFFFF"/>
              </w:rPr>
              <w:t>% Passing Math</w:t>
            </w:r>
          </w:p>
        </w:tc>
        <w:tc>
          <w:tcPr>
            <w:tcW w:w="2108" w:type="dxa"/>
          </w:tcPr>
          <w:p w14:paraId="2AE0A462" w14:textId="209D8E24" w:rsidR="009A2FAB" w:rsidRPr="009A2FAB" w:rsidRDefault="009A2FAB" w:rsidP="009A2FAB">
            <w:pPr>
              <w:rPr>
                <w:rFonts w:cstheme="minorHAnsi"/>
                <w:b/>
                <w:bCs/>
                <w:color w:val="000000"/>
                <w:shd w:val="clear" w:color="auto" w:fill="FFFFFF"/>
              </w:rPr>
            </w:pPr>
            <w:r>
              <w:rPr>
                <w:rFonts w:ascii="Helvetica" w:hAnsi="Helvetica" w:cs="Helvetica"/>
                <w:b/>
                <w:bCs/>
                <w:color w:val="000000"/>
                <w:sz w:val="18"/>
                <w:szCs w:val="18"/>
                <w:shd w:val="clear" w:color="auto" w:fill="FFFFFF"/>
              </w:rPr>
              <w:t>% Passing Reading</w:t>
            </w:r>
          </w:p>
        </w:tc>
        <w:tc>
          <w:tcPr>
            <w:tcW w:w="2437" w:type="dxa"/>
          </w:tcPr>
          <w:p w14:paraId="2D8EC05F" w14:textId="5E16C717" w:rsidR="009A2FAB" w:rsidRPr="009A2FAB" w:rsidRDefault="009A2FAB" w:rsidP="009A2FAB">
            <w:pPr>
              <w:rPr>
                <w:rFonts w:cstheme="minorHAnsi"/>
                <w:b/>
                <w:bCs/>
              </w:rPr>
            </w:pPr>
            <w:r w:rsidRPr="009A2FAB">
              <w:rPr>
                <w:rFonts w:cstheme="minorHAnsi"/>
                <w:b/>
                <w:bCs/>
                <w:color w:val="000000"/>
                <w:shd w:val="clear" w:color="auto" w:fill="FFFFFF"/>
              </w:rPr>
              <w:t>% Overall Passing</w:t>
            </w:r>
          </w:p>
        </w:tc>
      </w:tr>
      <w:tr w:rsidR="009A2FAB" w:rsidRPr="00A7673B" w14:paraId="2047A02D" w14:textId="77777777" w:rsidTr="00A7673B">
        <w:trPr>
          <w:trHeight w:val="458"/>
        </w:trPr>
        <w:tc>
          <w:tcPr>
            <w:tcW w:w="2368" w:type="dxa"/>
          </w:tcPr>
          <w:p w14:paraId="39A0CF15" w14:textId="451E3DA7" w:rsidR="009A2FAB" w:rsidRPr="00A7673B" w:rsidRDefault="009A2FAB" w:rsidP="009A2FAB">
            <w:pPr>
              <w:jc w:val="both"/>
              <w:rPr>
                <w:rFonts w:cstheme="minorHAnsi"/>
                <w:color w:val="000000"/>
              </w:rPr>
            </w:pPr>
            <w:r w:rsidRPr="00A7673B">
              <w:rPr>
                <w:rFonts w:cstheme="minorHAnsi"/>
                <w:color w:val="000000"/>
              </w:rPr>
              <w:t>Small (&lt;1000)</w:t>
            </w:r>
          </w:p>
          <w:p w14:paraId="608BBD91" w14:textId="77777777" w:rsidR="009A2FAB" w:rsidRPr="00A7673B" w:rsidRDefault="009A2FAB" w:rsidP="009A2FAB">
            <w:pPr>
              <w:jc w:val="both"/>
              <w:rPr>
                <w:rFonts w:cstheme="minorHAnsi"/>
              </w:rPr>
            </w:pPr>
          </w:p>
        </w:tc>
        <w:tc>
          <w:tcPr>
            <w:tcW w:w="2437" w:type="dxa"/>
          </w:tcPr>
          <w:p w14:paraId="6BF44814" w14:textId="3F8575FD" w:rsidR="009A2FAB" w:rsidRPr="00A7673B" w:rsidRDefault="009A2FAB" w:rsidP="009A2FAB">
            <w:pPr>
              <w:jc w:val="both"/>
              <w:rPr>
                <w:rFonts w:cstheme="minorHAnsi"/>
              </w:rPr>
            </w:pPr>
            <w:r w:rsidRPr="00A7673B">
              <w:rPr>
                <w:rFonts w:cstheme="minorHAnsi"/>
                <w:color w:val="000000"/>
              </w:rPr>
              <w:t>93.95</w:t>
            </w:r>
          </w:p>
        </w:tc>
        <w:tc>
          <w:tcPr>
            <w:tcW w:w="2108" w:type="dxa"/>
          </w:tcPr>
          <w:p w14:paraId="6881F9E3" w14:textId="798F3533" w:rsidR="009A2FAB" w:rsidRPr="00A7673B" w:rsidRDefault="00A7673B" w:rsidP="00A7673B">
            <w:pPr>
              <w:spacing w:before="240"/>
              <w:jc w:val="both"/>
              <w:rPr>
                <w:rFonts w:cstheme="minorHAnsi"/>
                <w:color w:val="000000"/>
                <w:shd w:val="clear" w:color="auto" w:fill="F5F5F5"/>
              </w:rPr>
            </w:pPr>
            <w:r>
              <w:rPr>
                <w:rFonts w:cstheme="minorHAnsi"/>
                <w:color w:val="000000"/>
                <w:shd w:val="clear" w:color="auto" w:fill="F5F5F5"/>
              </w:rPr>
              <w:t>96.04</w:t>
            </w:r>
          </w:p>
        </w:tc>
        <w:tc>
          <w:tcPr>
            <w:tcW w:w="2437" w:type="dxa"/>
          </w:tcPr>
          <w:p w14:paraId="157E1065" w14:textId="588D233D" w:rsidR="009A2FAB" w:rsidRPr="00A7673B" w:rsidRDefault="009A2FAB" w:rsidP="009A2FAB">
            <w:pPr>
              <w:jc w:val="both"/>
              <w:rPr>
                <w:rFonts w:cstheme="minorHAnsi"/>
              </w:rPr>
            </w:pPr>
            <w:r w:rsidRPr="00A7673B">
              <w:rPr>
                <w:rFonts w:cstheme="minorHAnsi"/>
                <w:color w:val="000000"/>
                <w:shd w:val="clear" w:color="auto" w:fill="F5F5F5"/>
              </w:rPr>
              <w:t>90.13</w:t>
            </w:r>
          </w:p>
        </w:tc>
      </w:tr>
      <w:tr w:rsidR="009A2FAB" w:rsidRPr="00A7673B" w14:paraId="1F4DD73B" w14:textId="77777777" w:rsidTr="00A7673B">
        <w:tc>
          <w:tcPr>
            <w:tcW w:w="2368" w:type="dxa"/>
          </w:tcPr>
          <w:p w14:paraId="34A09325" w14:textId="3430071D" w:rsidR="009A2FAB" w:rsidRPr="00A7673B" w:rsidRDefault="009A2FAB" w:rsidP="009A2FAB">
            <w:pPr>
              <w:jc w:val="both"/>
              <w:rPr>
                <w:rFonts w:cstheme="minorHAnsi"/>
                <w:color w:val="000000"/>
              </w:rPr>
            </w:pPr>
            <w:r w:rsidRPr="00A7673B">
              <w:rPr>
                <w:rFonts w:cstheme="minorHAnsi"/>
                <w:color w:val="000000"/>
              </w:rPr>
              <w:t>Medium (1000-1999)</w:t>
            </w:r>
          </w:p>
          <w:p w14:paraId="76D89BA3" w14:textId="77777777" w:rsidR="009A2FAB" w:rsidRPr="00A7673B" w:rsidRDefault="009A2FAB" w:rsidP="009A2FAB">
            <w:pPr>
              <w:jc w:val="both"/>
              <w:rPr>
                <w:rFonts w:cstheme="minorHAnsi"/>
              </w:rPr>
            </w:pPr>
          </w:p>
        </w:tc>
        <w:tc>
          <w:tcPr>
            <w:tcW w:w="2437" w:type="dxa"/>
          </w:tcPr>
          <w:p w14:paraId="6ED7AC61" w14:textId="7E0C360F" w:rsidR="009A2FAB" w:rsidRPr="00A7673B" w:rsidRDefault="009A2FAB" w:rsidP="009A2FAB">
            <w:pPr>
              <w:jc w:val="both"/>
              <w:rPr>
                <w:rFonts w:cstheme="minorHAnsi"/>
              </w:rPr>
            </w:pPr>
            <w:r w:rsidRPr="00A7673B">
              <w:rPr>
                <w:rFonts w:cstheme="minorHAnsi"/>
                <w:color w:val="000000"/>
              </w:rPr>
              <w:t>93.61</w:t>
            </w:r>
          </w:p>
        </w:tc>
        <w:tc>
          <w:tcPr>
            <w:tcW w:w="2108" w:type="dxa"/>
          </w:tcPr>
          <w:p w14:paraId="3C58ED76" w14:textId="39699F0E" w:rsidR="009A2FAB" w:rsidRPr="00A7673B" w:rsidRDefault="009A2FAB" w:rsidP="009A2FAB">
            <w:pPr>
              <w:jc w:val="both"/>
              <w:rPr>
                <w:rFonts w:cstheme="minorHAnsi"/>
                <w:color w:val="000000"/>
                <w:shd w:val="clear" w:color="auto" w:fill="FFFFFF"/>
              </w:rPr>
            </w:pPr>
            <w:r w:rsidRPr="00A7673B">
              <w:rPr>
                <w:rFonts w:cstheme="minorHAnsi"/>
                <w:color w:val="000000"/>
                <w:shd w:val="clear" w:color="auto" w:fill="FFFFFF"/>
              </w:rPr>
              <w:t>96.77</w:t>
            </w:r>
          </w:p>
        </w:tc>
        <w:tc>
          <w:tcPr>
            <w:tcW w:w="2437" w:type="dxa"/>
          </w:tcPr>
          <w:p w14:paraId="62FD024B" w14:textId="398DD272" w:rsidR="009A2FAB" w:rsidRPr="00A7673B" w:rsidRDefault="009A2FAB" w:rsidP="009A2FAB">
            <w:pPr>
              <w:jc w:val="both"/>
              <w:rPr>
                <w:rFonts w:cstheme="minorHAnsi"/>
              </w:rPr>
            </w:pPr>
            <w:r w:rsidRPr="00A7673B">
              <w:rPr>
                <w:rFonts w:cstheme="minorHAnsi"/>
                <w:color w:val="000000"/>
                <w:shd w:val="clear" w:color="auto" w:fill="FFFFFF"/>
              </w:rPr>
              <w:t>90.62</w:t>
            </w:r>
          </w:p>
        </w:tc>
      </w:tr>
      <w:tr w:rsidR="009A2FAB" w:rsidRPr="00A7673B" w14:paraId="5B40D7EA" w14:textId="77777777" w:rsidTr="00A7673B">
        <w:tc>
          <w:tcPr>
            <w:tcW w:w="2368" w:type="dxa"/>
          </w:tcPr>
          <w:p w14:paraId="559A1D56" w14:textId="318DAD0B" w:rsidR="009A2FAB" w:rsidRPr="00A7673B" w:rsidRDefault="009A2FAB" w:rsidP="009A2FAB">
            <w:pPr>
              <w:jc w:val="both"/>
              <w:rPr>
                <w:rFonts w:cstheme="minorHAnsi"/>
                <w:color w:val="000000"/>
              </w:rPr>
            </w:pPr>
            <w:r w:rsidRPr="00A7673B">
              <w:rPr>
                <w:rFonts w:cstheme="minorHAnsi"/>
                <w:color w:val="000000"/>
              </w:rPr>
              <w:t>Large (2000-5000)</w:t>
            </w:r>
          </w:p>
          <w:p w14:paraId="0846C010" w14:textId="77777777" w:rsidR="009A2FAB" w:rsidRPr="00A7673B" w:rsidRDefault="009A2FAB" w:rsidP="009A2FAB">
            <w:pPr>
              <w:jc w:val="both"/>
              <w:rPr>
                <w:rFonts w:cstheme="minorHAnsi"/>
              </w:rPr>
            </w:pPr>
          </w:p>
        </w:tc>
        <w:tc>
          <w:tcPr>
            <w:tcW w:w="2437" w:type="dxa"/>
          </w:tcPr>
          <w:p w14:paraId="6F8C439E" w14:textId="77777777" w:rsidR="00A7673B" w:rsidRDefault="00A7673B" w:rsidP="009A2FAB">
            <w:pPr>
              <w:jc w:val="both"/>
              <w:rPr>
                <w:rFonts w:cstheme="minorHAnsi"/>
                <w:color w:val="FF0000"/>
              </w:rPr>
            </w:pPr>
          </w:p>
          <w:p w14:paraId="1D42E02F" w14:textId="3582E4C5" w:rsidR="009A2FAB" w:rsidRPr="00A7673B" w:rsidRDefault="009A2FAB" w:rsidP="009A2FAB">
            <w:pPr>
              <w:jc w:val="both"/>
              <w:rPr>
                <w:rFonts w:cstheme="minorHAnsi"/>
              </w:rPr>
            </w:pPr>
            <w:r w:rsidRPr="00A7673B">
              <w:rPr>
                <w:rFonts w:cstheme="minorHAnsi"/>
                <w:color w:val="FF0000"/>
              </w:rPr>
              <w:t>68.65</w:t>
            </w:r>
          </w:p>
        </w:tc>
        <w:tc>
          <w:tcPr>
            <w:tcW w:w="2108" w:type="dxa"/>
          </w:tcPr>
          <w:p w14:paraId="14F53523" w14:textId="2407C13E" w:rsidR="009A2FAB" w:rsidRPr="00A7673B" w:rsidRDefault="009A2FAB" w:rsidP="009A2FAB">
            <w:pPr>
              <w:spacing w:before="240"/>
              <w:jc w:val="both"/>
              <w:rPr>
                <w:rFonts w:cstheme="minorHAnsi"/>
                <w:color w:val="000000"/>
              </w:rPr>
            </w:pPr>
            <w:r w:rsidRPr="00A7673B">
              <w:rPr>
                <w:rFonts w:cstheme="minorHAnsi"/>
                <w:color w:val="000000"/>
              </w:rPr>
              <w:t>82.12</w:t>
            </w:r>
          </w:p>
          <w:p w14:paraId="59D88750" w14:textId="77777777" w:rsidR="009A2FAB" w:rsidRPr="00A7673B" w:rsidRDefault="009A2FAB" w:rsidP="009A2FAB">
            <w:pPr>
              <w:jc w:val="both"/>
              <w:rPr>
                <w:rFonts w:cstheme="minorHAnsi"/>
                <w:color w:val="000000"/>
                <w:shd w:val="clear" w:color="auto" w:fill="F5F5F5"/>
              </w:rPr>
            </w:pPr>
          </w:p>
        </w:tc>
        <w:tc>
          <w:tcPr>
            <w:tcW w:w="2437" w:type="dxa"/>
          </w:tcPr>
          <w:p w14:paraId="041EEEC6" w14:textId="77777777" w:rsidR="00A7673B" w:rsidRDefault="00A7673B" w:rsidP="009A2FAB">
            <w:pPr>
              <w:jc w:val="both"/>
              <w:rPr>
                <w:rFonts w:cstheme="minorHAnsi"/>
                <w:color w:val="000000"/>
                <w:shd w:val="clear" w:color="auto" w:fill="F5F5F5"/>
              </w:rPr>
            </w:pPr>
          </w:p>
          <w:p w14:paraId="299F31A9" w14:textId="10CF3FDA" w:rsidR="009A2FAB" w:rsidRPr="00A7673B" w:rsidRDefault="009A2FAB" w:rsidP="009A2FAB">
            <w:pPr>
              <w:jc w:val="both"/>
              <w:rPr>
                <w:rFonts w:cstheme="minorHAnsi"/>
              </w:rPr>
            </w:pPr>
            <w:r w:rsidRPr="00A7673B">
              <w:rPr>
                <w:rFonts w:cstheme="minorHAnsi"/>
                <w:color w:val="000000"/>
                <w:shd w:val="clear" w:color="auto" w:fill="F5F5F5"/>
              </w:rPr>
              <w:t>56.57</w:t>
            </w:r>
          </w:p>
        </w:tc>
      </w:tr>
    </w:tbl>
    <w:p w14:paraId="1B86A8C0" w14:textId="77777777" w:rsidR="009A2FAB" w:rsidRPr="00A7673B" w:rsidRDefault="009A2FAB" w:rsidP="009A2FAB">
      <w:pPr>
        <w:jc w:val="both"/>
        <w:rPr>
          <w:rFonts w:cstheme="minorHAnsi"/>
        </w:rPr>
      </w:pPr>
    </w:p>
    <w:p w14:paraId="5AE53CBF" w14:textId="77777777" w:rsidR="000D0452" w:rsidRPr="00D8413D" w:rsidRDefault="000D0452" w:rsidP="000D0452"/>
    <w:sectPr w:rsidR="000D0452" w:rsidRPr="00D84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E2839"/>
    <w:multiLevelType w:val="hybridMultilevel"/>
    <w:tmpl w:val="CDACCCEC"/>
    <w:lvl w:ilvl="0" w:tplc="92D68E7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A310094"/>
    <w:multiLevelType w:val="hybridMultilevel"/>
    <w:tmpl w:val="F7D8A9F6"/>
    <w:lvl w:ilvl="0" w:tplc="02885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448375">
    <w:abstractNumId w:val="1"/>
  </w:num>
  <w:num w:numId="2" w16cid:durableId="661852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3D"/>
    <w:rsid w:val="000708E8"/>
    <w:rsid w:val="00097941"/>
    <w:rsid w:val="000D0452"/>
    <w:rsid w:val="00156A98"/>
    <w:rsid w:val="002E3333"/>
    <w:rsid w:val="003302A4"/>
    <w:rsid w:val="0054238A"/>
    <w:rsid w:val="00580C2F"/>
    <w:rsid w:val="00774686"/>
    <w:rsid w:val="00775B8F"/>
    <w:rsid w:val="009A2FAB"/>
    <w:rsid w:val="00A7673B"/>
    <w:rsid w:val="00D8413D"/>
    <w:rsid w:val="00EC4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74673"/>
  <w15:chartTrackingRefBased/>
  <w15:docId w15:val="{9D1A0F89-0C94-47EA-AB47-1138D925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13D"/>
    <w:pPr>
      <w:ind w:left="720"/>
      <w:contextualSpacing/>
    </w:pPr>
  </w:style>
  <w:style w:type="table" w:styleId="TableGrid">
    <w:name w:val="Table Grid"/>
    <w:basedOn w:val="TableNormal"/>
    <w:uiPriority w:val="39"/>
    <w:rsid w:val="00156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6751">
      <w:bodyDiv w:val="1"/>
      <w:marLeft w:val="0"/>
      <w:marRight w:val="0"/>
      <w:marTop w:val="0"/>
      <w:marBottom w:val="0"/>
      <w:divBdr>
        <w:top w:val="none" w:sz="0" w:space="0" w:color="auto"/>
        <w:left w:val="none" w:sz="0" w:space="0" w:color="auto"/>
        <w:bottom w:val="none" w:sz="0" w:space="0" w:color="auto"/>
        <w:right w:val="none" w:sz="0" w:space="0" w:color="auto"/>
      </w:divBdr>
    </w:div>
    <w:div w:id="195578899">
      <w:bodyDiv w:val="1"/>
      <w:marLeft w:val="0"/>
      <w:marRight w:val="0"/>
      <w:marTop w:val="0"/>
      <w:marBottom w:val="0"/>
      <w:divBdr>
        <w:top w:val="none" w:sz="0" w:space="0" w:color="auto"/>
        <w:left w:val="none" w:sz="0" w:space="0" w:color="auto"/>
        <w:bottom w:val="none" w:sz="0" w:space="0" w:color="auto"/>
        <w:right w:val="none" w:sz="0" w:space="0" w:color="auto"/>
      </w:divBdr>
    </w:div>
    <w:div w:id="212348964">
      <w:bodyDiv w:val="1"/>
      <w:marLeft w:val="0"/>
      <w:marRight w:val="0"/>
      <w:marTop w:val="0"/>
      <w:marBottom w:val="0"/>
      <w:divBdr>
        <w:top w:val="none" w:sz="0" w:space="0" w:color="auto"/>
        <w:left w:val="none" w:sz="0" w:space="0" w:color="auto"/>
        <w:bottom w:val="none" w:sz="0" w:space="0" w:color="auto"/>
        <w:right w:val="none" w:sz="0" w:space="0" w:color="auto"/>
      </w:divBdr>
      <w:divsChild>
        <w:div w:id="1081414167">
          <w:marLeft w:val="0"/>
          <w:marRight w:val="0"/>
          <w:marTop w:val="0"/>
          <w:marBottom w:val="0"/>
          <w:divBdr>
            <w:top w:val="none" w:sz="0" w:space="0" w:color="auto"/>
            <w:left w:val="none" w:sz="0" w:space="0" w:color="auto"/>
            <w:bottom w:val="none" w:sz="0" w:space="0" w:color="auto"/>
            <w:right w:val="none" w:sz="0" w:space="0" w:color="auto"/>
          </w:divBdr>
          <w:divsChild>
            <w:div w:id="453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34335">
      <w:bodyDiv w:val="1"/>
      <w:marLeft w:val="0"/>
      <w:marRight w:val="0"/>
      <w:marTop w:val="0"/>
      <w:marBottom w:val="0"/>
      <w:divBdr>
        <w:top w:val="none" w:sz="0" w:space="0" w:color="auto"/>
        <w:left w:val="none" w:sz="0" w:space="0" w:color="auto"/>
        <w:bottom w:val="none" w:sz="0" w:space="0" w:color="auto"/>
        <w:right w:val="none" w:sz="0" w:space="0" w:color="auto"/>
      </w:divBdr>
    </w:div>
    <w:div w:id="1674071311">
      <w:bodyDiv w:val="1"/>
      <w:marLeft w:val="0"/>
      <w:marRight w:val="0"/>
      <w:marTop w:val="0"/>
      <w:marBottom w:val="0"/>
      <w:divBdr>
        <w:top w:val="none" w:sz="0" w:space="0" w:color="auto"/>
        <w:left w:val="none" w:sz="0" w:space="0" w:color="auto"/>
        <w:bottom w:val="none" w:sz="0" w:space="0" w:color="auto"/>
        <w:right w:val="none" w:sz="0" w:space="0" w:color="auto"/>
      </w:divBdr>
    </w:div>
    <w:div w:id="1803579149">
      <w:bodyDiv w:val="1"/>
      <w:marLeft w:val="0"/>
      <w:marRight w:val="0"/>
      <w:marTop w:val="0"/>
      <w:marBottom w:val="0"/>
      <w:divBdr>
        <w:top w:val="none" w:sz="0" w:space="0" w:color="auto"/>
        <w:left w:val="none" w:sz="0" w:space="0" w:color="auto"/>
        <w:bottom w:val="none" w:sz="0" w:space="0" w:color="auto"/>
        <w:right w:val="none" w:sz="0" w:space="0" w:color="auto"/>
      </w:divBdr>
    </w:div>
    <w:div w:id="185888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Dao</dc:creator>
  <cp:keywords/>
  <dc:description/>
  <cp:lastModifiedBy>Nikki Dao</cp:lastModifiedBy>
  <cp:revision>3</cp:revision>
  <dcterms:created xsi:type="dcterms:W3CDTF">2022-04-16T07:06:00Z</dcterms:created>
  <dcterms:modified xsi:type="dcterms:W3CDTF">2022-04-16T08:04:00Z</dcterms:modified>
</cp:coreProperties>
</file>