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66" w:rsidRDefault="00586E24" w:rsidP="00586E24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586E24">
        <w:rPr>
          <w:b/>
          <w:sz w:val="32"/>
          <w:szCs w:val="32"/>
          <w:u w:val="single"/>
        </w:rPr>
        <w:t xml:space="preserve">Tools </w:t>
      </w:r>
      <w:proofErr w:type="gramStart"/>
      <w:r w:rsidRPr="00586E24">
        <w:rPr>
          <w:b/>
          <w:sz w:val="32"/>
          <w:szCs w:val="32"/>
          <w:u w:val="single"/>
        </w:rPr>
        <w:t>For</w:t>
      </w:r>
      <w:proofErr w:type="gramEnd"/>
      <w:r w:rsidRPr="00586E24">
        <w:rPr>
          <w:b/>
          <w:sz w:val="32"/>
          <w:szCs w:val="32"/>
          <w:u w:val="single"/>
        </w:rPr>
        <w:t xml:space="preserve"> Community Health Workers</w:t>
      </w:r>
    </w:p>
    <w:p w:rsidR="00586E24" w:rsidRPr="00E6026A" w:rsidRDefault="00301E4F" w:rsidP="00586E2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6026A">
        <w:rPr>
          <w:rFonts w:cstheme="minorHAnsi"/>
          <w:sz w:val="19"/>
          <w:szCs w:val="19"/>
        </w:rPr>
        <w:t>This</w:t>
      </w:r>
      <w:r w:rsidRPr="00E6026A">
        <w:rPr>
          <w:rFonts w:cstheme="minorHAnsi"/>
          <w:sz w:val="19"/>
          <w:szCs w:val="19"/>
        </w:rPr>
        <w:t xml:space="preserve"> report provides a foundation for the use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>of</w:t>
      </w:r>
      <w:r w:rsidRPr="00E6026A">
        <w:rPr>
          <w:rFonts w:cstheme="minorHAnsi"/>
          <w:sz w:val="19"/>
          <w:szCs w:val="19"/>
        </w:rPr>
        <w:t xml:space="preserve"> m</w:t>
      </w:r>
      <w:r w:rsidR="00586E24" w:rsidRPr="00E6026A">
        <w:rPr>
          <w:rFonts w:cstheme="minorHAnsi"/>
          <w:sz w:val="19"/>
          <w:szCs w:val="19"/>
        </w:rPr>
        <w:t>obile health tools to support the performance and accountability of Frontline</w:t>
      </w:r>
      <w:r w:rsidR="00586E24" w:rsidRPr="00E6026A">
        <w:rPr>
          <w:rFonts w:cstheme="minorHAnsi"/>
          <w:sz w:val="19"/>
          <w:szCs w:val="19"/>
        </w:rPr>
        <w:t xml:space="preserve"> </w:t>
      </w:r>
      <w:r w:rsidR="00586E24" w:rsidRPr="00E6026A">
        <w:rPr>
          <w:rFonts w:cstheme="minorHAnsi"/>
          <w:sz w:val="19"/>
          <w:szCs w:val="19"/>
        </w:rPr>
        <w:t>Health Workers in low- and middle-income countries.</w:t>
      </w:r>
    </w:p>
    <w:p w:rsidR="00301E4F" w:rsidRPr="00E6026A" w:rsidRDefault="00301E4F" w:rsidP="00586E2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6026A">
        <w:rPr>
          <w:rFonts w:cstheme="minorHAnsi"/>
          <w:color w:val="000000"/>
          <w:sz w:val="19"/>
          <w:szCs w:val="19"/>
        </w:rPr>
        <w:t xml:space="preserve">This report </w:t>
      </w:r>
      <w:r w:rsidRPr="00E6026A">
        <w:rPr>
          <w:rFonts w:cstheme="minorHAnsi"/>
          <w:color w:val="000000"/>
          <w:sz w:val="19"/>
          <w:szCs w:val="19"/>
        </w:rPr>
        <w:t xml:space="preserve">focuses on three </w:t>
      </w:r>
      <w:r w:rsidR="001A4982" w:rsidRPr="00E6026A">
        <w:rPr>
          <w:rFonts w:cstheme="minorHAnsi"/>
          <w:color w:val="000000"/>
          <w:sz w:val="19"/>
          <w:szCs w:val="19"/>
        </w:rPr>
        <w:t>approaches</w:t>
      </w:r>
      <w:r w:rsidRPr="00E6026A">
        <w:rPr>
          <w:rFonts w:cstheme="minorHAnsi"/>
          <w:color w:val="000000"/>
          <w:sz w:val="19"/>
          <w:szCs w:val="19"/>
        </w:rPr>
        <w:t xml:space="preserve"> that </w:t>
      </w:r>
      <w:r w:rsidR="001A4982" w:rsidRPr="00E6026A">
        <w:rPr>
          <w:rFonts w:cstheme="minorHAnsi"/>
          <w:color w:val="000000"/>
          <w:sz w:val="19"/>
          <w:szCs w:val="19"/>
        </w:rPr>
        <w:t>include</w:t>
      </w:r>
      <w:r w:rsidRPr="00E6026A">
        <w:rPr>
          <w:rFonts w:cstheme="minorHAnsi"/>
          <w:color w:val="000000"/>
          <w:sz w:val="19"/>
          <w:szCs w:val="19"/>
        </w:rPr>
        <w:t>: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9"/>
          <w:szCs w:val="19"/>
        </w:rPr>
      </w:pPr>
      <w:r w:rsidRPr="00E6026A">
        <w:rPr>
          <w:rFonts w:cstheme="minorHAnsi"/>
          <w:color w:val="009BDB"/>
          <w:sz w:val="19"/>
          <w:szCs w:val="19"/>
        </w:rPr>
        <w:t xml:space="preserve">1. Establishing a database of existing </w:t>
      </w:r>
      <w:proofErr w:type="spellStart"/>
      <w:r w:rsidRPr="00E6026A">
        <w:rPr>
          <w:rFonts w:cstheme="minorHAnsi"/>
          <w:color w:val="009BDB"/>
          <w:sz w:val="19"/>
          <w:szCs w:val="19"/>
        </w:rPr>
        <w:t>mHealth</w:t>
      </w:r>
      <w:proofErr w:type="spellEnd"/>
      <w:r w:rsidRPr="00E6026A">
        <w:rPr>
          <w:rFonts w:cstheme="minorHAnsi"/>
          <w:color w:val="009BDB"/>
          <w:sz w:val="19"/>
          <w:szCs w:val="19"/>
        </w:rPr>
        <w:t xml:space="preserve"> </w:t>
      </w:r>
      <w:r w:rsidRPr="00E6026A">
        <w:rPr>
          <w:rFonts w:cstheme="minorHAnsi"/>
          <w:color w:val="009BDB"/>
          <w:sz w:val="19"/>
          <w:szCs w:val="19"/>
        </w:rPr>
        <w:t>tools related to FLHW performance and</w:t>
      </w:r>
      <w:r w:rsidRPr="00E6026A">
        <w:rPr>
          <w:rFonts w:cstheme="minorHAnsi"/>
          <w:color w:val="009BDB"/>
          <w:sz w:val="19"/>
          <w:szCs w:val="19"/>
        </w:rPr>
        <w:t xml:space="preserve"> </w:t>
      </w:r>
      <w:r w:rsidRPr="00E6026A">
        <w:rPr>
          <w:rFonts w:cstheme="minorHAnsi"/>
          <w:color w:val="009BDB"/>
          <w:sz w:val="19"/>
          <w:szCs w:val="19"/>
        </w:rPr>
        <w:t>accountability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9"/>
          <w:szCs w:val="19"/>
        </w:rPr>
      </w:pPr>
      <w:r w:rsidRPr="00E6026A">
        <w:rPr>
          <w:rFonts w:cstheme="minorHAnsi"/>
          <w:color w:val="009BDB"/>
          <w:sz w:val="19"/>
          <w:szCs w:val="19"/>
        </w:rPr>
        <w:t>2. Conducting a literature review on the evidence</w:t>
      </w:r>
      <w:r w:rsidRPr="00E6026A">
        <w:rPr>
          <w:rFonts w:cstheme="minorHAnsi"/>
          <w:color w:val="009BDB"/>
          <w:sz w:val="19"/>
          <w:szCs w:val="19"/>
        </w:rPr>
        <w:t xml:space="preserve"> </w:t>
      </w:r>
      <w:r w:rsidRPr="00E6026A">
        <w:rPr>
          <w:rFonts w:cstheme="minorHAnsi"/>
          <w:color w:val="009BDB"/>
          <w:sz w:val="19"/>
          <w:szCs w:val="19"/>
        </w:rPr>
        <w:t xml:space="preserve">base of using </w:t>
      </w:r>
      <w:proofErr w:type="spellStart"/>
      <w:r w:rsidRPr="00E6026A">
        <w:rPr>
          <w:rFonts w:cstheme="minorHAnsi"/>
          <w:color w:val="009BDB"/>
          <w:sz w:val="19"/>
          <w:szCs w:val="19"/>
        </w:rPr>
        <w:t>mHealth</w:t>
      </w:r>
      <w:proofErr w:type="spellEnd"/>
      <w:r w:rsidRPr="00E6026A">
        <w:rPr>
          <w:rFonts w:cstheme="minorHAnsi"/>
          <w:color w:val="009BDB"/>
          <w:sz w:val="19"/>
          <w:szCs w:val="19"/>
        </w:rPr>
        <w:t xml:space="preserve"> tools to improve FLHW</w:t>
      </w:r>
      <w:r w:rsidRPr="00E6026A">
        <w:rPr>
          <w:rFonts w:cstheme="minorHAnsi"/>
          <w:color w:val="009BDB"/>
          <w:sz w:val="19"/>
          <w:szCs w:val="19"/>
        </w:rPr>
        <w:t xml:space="preserve"> </w:t>
      </w:r>
      <w:r w:rsidR="001A4982" w:rsidRPr="00E6026A">
        <w:rPr>
          <w:rFonts w:cstheme="minorHAnsi"/>
          <w:color w:val="009BDB"/>
          <w:sz w:val="19"/>
          <w:szCs w:val="19"/>
        </w:rPr>
        <w:t>performance and</w:t>
      </w:r>
      <w:r w:rsidRPr="00E6026A">
        <w:rPr>
          <w:rFonts w:cstheme="minorHAnsi"/>
          <w:color w:val="009BDB"/>
          <w:sz w:val="19"/>
          <w:szCs w:val="19"/>
        </w:rPr>
        <w:t xml:space="preserve"> accountability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9"/>
          <w:szCs w:val="19"/>
        </w:rPr>
      </w:pPr>
      <w:r w:rsidRPr="00E6026A">
        <w:rPr>
          <w:rFonts w:cstheme="minorHAnsi"/>
          <w:color w:val="009BDB"/>
          <w:sz w:val="19"/>
          <w:szCs w:val="19"/>
        </w:rPr>
        <w:t>3. Developing a framework to guide the</w:t>
      </w:r>
      <w:r w:rsidRPr="00E6026A">
        <w:rPr>
          <w:rFonts w:cstheme="minorHAnsi"/>
          <w:color w:val="009BDB"/>
          <w:sz w:val="19"/>
          <w:szCs w:val="19"/>
        </w:rPr>
        <w:t xml:space="preserve"> </w:t>
      </w:r>
      <w:r w:rsidRPr="00E6026A">
        <w:rPr>
          <w:rFonts w:cstheme="minorHAnsi"/>
          <w:color w:val="009BDB"/>
          <w:sz w:val="19"/>
          <w:szCs w:val="19"/>
        </w:rPr>
        <w:t>adaptation of paper-based content into</w:t>
      </w:r>
      <w:r w:rsidRPr="00E6026A">
        <w:rPr>
          <w:rFonts w:cstheme="minorHAnsi"/>
          <w:color w:val="009BDB"/>
          <w:sz w:val="19"/>
          <w:szCs w:val="19"/>
        </w:rPr>
        <w:t xml:space="preserve"> </w:t>
      </w:r>
      <w:r w:rsidRPr="00E6026A">
        <w:rPr>
          <w:rFonts w:cstheme="minorHAnsi"/>
          <w:color w:val="009BDB"/>
          <w:sz w:val="19"/>
          <w:szCs w:val="19"/>
        </w:rPr>
        <w:t>mobile-friendly content.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6026A">
        <w:rPr>
          <w:rFonts w:cstheme="minorHAnsi"/>
          <w:sz w:val="19"/>
          <w:szCs w:val="19"/>
        </w:rPr>
        <w:t xml:space="preserve">In general, the majority of </w:t>
      </w:r>
      <w:proofErr w:type="spellStart"/>
      <w:r w:rsidRPr="00E6026A">
        <w:rPr>
          <w:rFonts w:cstheme="minorHAnsi"/>
          <w:sz w:val="19"/>
          <w:szCs w:val="19"/>
        </w:rPr>
        <w:t>mHealth</w:t>
      </w:r>
      <w:proofErr w:type="spellEnd"/>
      <w:r w:rsidRPr="00E6026A">
        <w:rPr>
          <w:rFonts w:cstheme="minorHAnsi"/>
          <w:sz w:val="19"/>
          <w:szCs w:val="19"/>
        </w:rPr>
        <w:t xml:space="preserve"> tools identified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>were being implemented in India and East Africa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>and focused on supporting patient monitoring,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 xml:space="preserve">reinforcing learning, and strengthening </w:t>
      </w:r>
      <w:r w:rsidRPr="00E6026A">
        <w:rPr>
          <w:rFonts w:cstheme="minorHAnsi"/>
          <w:sz w:val="19"/>
          <w:szCs w:val="19"/>
        </w:rPr>
        <w:t xml:space="preserve">counseling </w:t>
      </w:r>
      <w:r w:rsidRPr="00E6026A">
        <w:rPr>
          <w:rFonts w:cstheme="minorHAnsi"/>
          <w:sz w:val="19"/>
          <w:szCs w:val="19"/>
        </w:rPr>
        <w:t>efforts during home visits, through pre-loaded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 xml:space="preserve">java-based applications. 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6026A">
        <w:rPr>
          <w:rFonts w:cstheme="minorHAnsi"/>
          <w:sz w:val="19"/>
          <w:szCs w:val="19"/>
        </w:rPr>
        <w:t xml:space="preserve">Overall, the </w:t>
      </w:r>
      <w:proofErr w:type="spellStart"/>
      <w:r w:rsidRPr="00E6026A">
        <w:rPr>
          <w:rFonts w:cstheme="minorHAnsi"/>
          <w:sz w:val="19"/>
          <w:szCs w:val="19"/>
        </w:rPr>
        <w:t>mHealth</w:t>
      </w:r>
      <w:proofErr w:type="spellEnd"/>
      <w:r w:rsidRPr="00E6026A">
        <w:rPr>
          <w:rFonts w:cstheme="minorHAnsi"/>
          <w:sz w:val="19"/>
          <w:szCs w:val="19"/>
        </w:rPr>
        <w:t xml:space="preserve"> tools</w:t>
      </w:r>
      <w:r w:rsidRPr="00E6026A">
        <w:rPr>
          <w:rFonts w:cstheme="minorHAnsi"/>
          <w:sz w:val="19"/>
          <w:szCs w:val="19"/>
        </w:rPr>
        <w:t xml:space="preserve"> </w:t>
      </w:r>
      <w:r w:rsidR="004A1CB6">
        <w:rPr>
          <w:rFonts w:cstheme="minorHAnsi"/>
          <w:sz w:val="19"/>
          <w:szCs w:val="19"/>
        </w:rPr>
        <w:t xml:space="preserve">are </w:t>
      </w:r>
      <w:r w:rsidRPr="00E6026A">
        <w:rPr>
          <w:rFonts w:cstheme="minorHAnsi"/>
          <w:sz w:val="19"/>
          <w:szCs w:val="19"/>
        </w:rPr>
        <w:t>related to human resource management, including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>work planning and scheduling, performance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>management and compensation</w:t>
      </w:r>
      <w:r w:rsidRPr="00E6026A">
        <w:rPr>
          <w:rFonts w:cstheme="minorHAnsi"/>
          <w:sz w:val="19"/>
          <w:szCs w:val="19"/>
        </w:rPr>
        <w:t>.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01E4F" w:rsidRPr="00E6026A" w:rsidRDefault="00E6026A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6026A">
        <w:rPr>
          <w:rFonts w:cstheme="minorHAnsi"/>
          <w:sz w:val="19"/>
          <w:szCs w:val="19"/>
        </w:rPr>
        <w:t xml:space="preserve">Platforms, such as </w:t>
      </w:r>
      <w:proofErr w:type="spellStart"/>
      <w:r w:rsidRPr="00E6026A">
        <w:rPr>
          <w:rFonts w:cstheme="minorHAnsi"/>
          <w:sz w:val="19"/>
          <w:szCs w:val="19"/>
        </w:rPr>
        <w:t>CommCare</w:t>
      </w:r>
      <w:proofErr w:type="spellEnd"/>
      <w:r w:rsidRPr="00E6026A">
        <w:rPr>
          <w:rFonts w:cstheme="minorHAnsi"/>
          <w:sz w:val="19"/>
          <w:szCs w:val="19"/>
        </w:rPr>
        <w:t xml:space="preserve"> and </w:t>
      </w:r>
      <w:proofErr w:type="spellStart"/>
      <w:r w:rsidRPr="00E6026A">
        <w:rPr>
          <w:rFonts w:cstheme="minorHAnsi"/>
          <w:sz w:val="19"/>
          <w:szCs w:val="19"/>
        </w:rPr>
        <w:t>FrontlineSMS</w:t>
      </w:r>
      <w:proofErr w:type="spellEnd"/>
      <w:r w:rsidRPr="00E6026A">
        <w:rPr>
          <w:rFonts w:cstheme="minorHAnsi"/>
          <w:sz w:val="19"/>
          <w:szCs w:val="19"/>
        </w:rPr>
        <w:t>, provide</w:t>
      </w:r>
      <w:r w:rsidR="00301E4F" w:rsidRPr="00E6026A">
        <w:rPr>
          <w:rFonts w:cstheme="minorHAnsi"/>
          <w:sz w:val="19"/>
          <w:szCs w:val="19"/>
        </w:rPr>
        <w:t xml:space="preserve"> the infrastructure and</w:t>
      </w:r>
      <w:r w:rsidR="00301E4F" w:rsidRPr="00E6026A">
        <w:rPr>
          <w:rFonts w:cstheme="minorHAnsi"/>
          <w:sz w:val="19"/>
          <w:szCs w:val="19"/>
        </w:rPr>
        <w:t xml:space="preserve"> </w:t>
      </w:r>
      <w:r w:rsidR="00301E4F" w:rsidRPr="00E6026A">
        <w:rPr>
          <w:rFonts w:cstheme="minorHAnsi"/>
          <w:sz w:val="19"/>
          <w:szCs w:val="19"/>
        </w:rPr>
        <w:t xml:space="preserve">tools </w:t>
      </w:r>
      <w:r w:rsidR="00301E4F" w:rsidRPr="00E6026A">
        <w:rPr>
          <w:rFonts w:cstheme="minorHAnsi"/>
          <w:sz w:val="19"/>
          <w:szCs w:val="19"/>
        </w:rPr>
        <w:t>which</w:t>
      </w:r>
      <w:r w:rsidR="00301E4F" w:rsidRPr="00E6026A">
        <w:rPr>
          <w:rFonts w:cstheme="minorHAnsi"/>
          <w:sz w:val="19"/>
          <w:szCs w:val="19"/>
        </w:rPr>
        <w:t xml:space="preserve"> reduce</w:t>
      </w:r>
      <w:r w:rsidR="00301E4F" w:rsidRPr="00E6026A">
        <w:rPr>
          <w:rFonts w:cstheme="minorHAnsi"/>
          <w:sz w:val="19"/>
          <w:szCs w:val="19"/>
        </w:rPr>
        <w:t>s</w:t>
      </w:r>
      <w:r w:rsidR="00301E4F" w:rsidRPr="00E6026A">
        <w:rPr>
          <w:rFonts w:cstheme="minorHAnsi"/>
          <w:sz w:val="19"/>
          <w:szCs w:val="19"/>
        </w:rPr>
        <w:t xml:space="preserve"> the cost and technical</w:t>
      </w:r>
      <w:r w:rsidR="00301E4F" w:rsidRPr="00E6026A">
        <w:rPr>
          <w:rFonts w:cstheme="minorHAnsi"/>
          <w:sz w:val="19"/>
          <w:szCs w:val="19"/>
        </w:rPr>
        <w:t xml:space="preserve"> expertise require</w:t>
      </w:r>
      <w:r w:rsidR="00301E4F" w:rsidRPr="00E6026A">
        <w:rPr>
          <w:rFonts w:cstheme="minorHAnsi"/>
          <w:sz w:val="19"/>
          <w:szCs w:val="19"/>
        </w:rPr>
        <w:t xml:space="preserve"> </w:t>
      </w:r>
      <w:r w:rsidR="001A4982" w:rsidRPr="00E6026A">
        <w:rPr>
          <w:rFonts w:cstheme="minorHAnsi"/>
          <w:sz w:val="19"/>
          <w:szCs w:val="19"/>
        </w:rPr>
        <w:t>developing</w:t>
      </w:r>
      <w:r w:rsidR="00301E4F" w:rsidRPr="00E6026A">
        <w:rPr>
          <w:rFonts w:cstheme="minorHAnsi"/>
          <w:sz w:val="19"/>
          <w:szCs w:val="19"/>
        </w:rPr>
        <w:t xml:space="preserve"> </w:t>
      </w:r>
      <w:r w:rsidR="001A4982" w:rsidRPr="00E6026A">
        <w:rPr>
          <w:rFonts w:cstheme="minorHAnsi"/>
          <w:sz w:val="19"/>
          <w:szCs w:val="19"/>
        </w:rPr>
        <w:t>a</w:t>
      </w:r>
      <w:r w:rsidR="00301E4F" w:rsidRPr="00E6026A">
        <w:rPr>
          <w:rFonts w:cstheme="minorHAnsi"/>
          <w:sz w:val="19"/>
          <w:szCs w:val="19"/>
        </w:rPr>
        <w:t xml:space="preserve"> </w:t>
      </w:r>
      <w:proofErr w:type="spellStart"/>
      <w:r w:rsidR="00301E4F" w:rsidRPr="00E6026A">
        <w:rPr>
          <w:rFonts w:cstheme="minorHAnsi"/>
          <w:sz w:val="19"/>
          <w:szCs w:val="19"/>
        </w:rPr>
        <w:t>mHealth</w:t>
      </w:r>
      <w:proofErr w:type="spellEnd"/>
      <w:r w:rsidR="00301E4F" w:rsidRPr="00E6026A">
        <w:rPr>
          <w:rFonts w:cstheme="minorHAnsi"/>
          <w:sz w:val="19"/>
          <w:szCs w:val="19"/>
        </w:rPr>
        <w:t xml:space="preserve"> tool.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6026A">
        <w:rPr>
          <w:rFonts w:cstheme="minorHAnsi"/>
          <w:sz w:val="19"/>
          <w:szCs w:val="19"/>
        </w:rPr>
        <w:t xml:space="preserve">In this report </w:t>
      </w:r>
      <w:r w:rsidR="00D97DB8" w:rsidRPr="00E6026A">
        <w:rPr>
          <w:rFonts w:cstheme="minorHAnsi"/>
          <w:sz w:val="19"/>
          <w:szCs w:val="19"/>
        </w:rPr>
        <w:t xml:space="preserve">United Nations Commission on life saving commodities for women and children </w:t>
      </w:r>
      <w:r w:rsidRPr="00E6026A">
        <w:rPr>
          <w:rFonts w:cstheme="minorHAnsi"/>
          <w:sz w:val="19"/>
          <w:szCs w:val="19"/>
        </w:rPr>
        <w:t>Recommendation 9 is broadly taken into the account.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E6026A">
        <w:rPr>
          <w:rFonts w:cstheme="minorHAnsi"/>
          <w:sz w:val="19"/>
          <w:szCs w:val="19"/>
          <w:u w:val="single"/>
        </w:rPr>
        <w:t xml:space="preserve">Recommendation </w:t>
      </w:r>
      <w:r w:rsidRPr="00E6026A">
        <w:rPr>
          <w:rFonts w:cstheme="minorHAnsi"/>
          <w:sz w:val="19"/>
          <w:szCs w:val="19"/>
          <w:u w:val="single"/>
        </w:rPr>
        <w:t>9</w:t>
      </w:r>
      <w:r w:rsidRPr="00E6026A">
        <w:rPr>
          <w:rFonts w:cstheme="minorHAnsi"/>
          <w:sz w:val="19"/>
          <w:szCs w:val="19"/>
        </w:rPr>
        <w:t>.</w:t>
      </w:r>
      <w:proofErr w:type="gramEnd"/>
      <w:r w:rsidRPr="00E6026A">
        <w:rPr>
          <w:rFonts w:cstheme="minorHAnsi"/>
          <w:sz w:val="19"/>
          <w:szCs w:val="19"/>
        </w:rPr>
        <w:t xml:space="preserve"> Performance and accountability: </w:t>
      </w: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01E4F" w:rsidRPr="00E6026A" w:rsidRDefault="00301E4F" w:rsidP="00301E4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6026A">
        <w:rPr>
          <w:rFonts w:cstheme="minorHAnsi"/>
          <w:sz w:val="19"/>
          <w:szCs w:val="19"/>
        </w:rPr>
        <w:t>By end 2013, all EWEC countries have proven mechanisms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>such as checklists</w:t>
      </w:r>
      <w:r w:rsidRPr="00E6026A">
        <w:rPr>
          <w:rFonts w:cstheme="minorHAnsi"/>
          <w:sz w:val="19"/>
          <w:szCs w:val="19"/>
        </w:rPr>
        <w:t xml:space="preserve"> in place to ensure that health-c</w:t>
      </w:r>
      <w:r w:rsidRPr="00E6026A">
        <w:rPr>
          <w:rFonts w:cstheme="minorHAnsi"/>
          <w:sz w:val="19"/>
          <w:szCs w:val="19"/>
        </w:rPr>
        <w:t>are providers are knowledgeable about the</w:t>
      </w:r>
      <w:r w:rsidRPr="00E6026A">
        <w:rPr>
          <w:rFonts w:cstheme="minorHAnsi"/>
          <w:sz w:val="19"/>
          <w:szCs w:val="19"/>
        </w:rPr>
        <w:t xml:space="preserve"> </w:t>
      </w:r>
      <w:r w:rsidRPr="00E6026A">
        <w:rPr>
          <w:rFonts w:cstheme="minorHAnsi"/>
          <w:sz w:val="19"/>
          <w:szCs w:val="19"/>
        </w:rPr>
        <w:t>latest national guidelines.</w:t>
      </w:r>
    </w:p>
    <w:p w:rsidR="00301E4F" w:rsidRDefault="00301E4F" w:rsidP="00301E4F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9BDB"/>
          <w:sz w:val="19"/>
          <w:szCs w:val="19"/>
        </w:rPr>
      </w:pPr>
    </w:p>
    <w:p w:rsidR="00D97DB8" w:rsidRDefault="00D97DB8" w:rsidP="00301E4F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9BDB"/>
          <w:sz w:val="19"/>
          <w:szCs w:val="19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7DB8" w:rsidTr="00D97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Default="00D97DB8" w:rsidP="00D97DB8">
            <w:pPr>
              <w:autoSpaceDE w:val="0"/>
              <w:autoSpaceDN w:val="0"/>
              <w:adjustRightInd w:val="0"/>
              <w:jc w:val="center"/>
              <w:rPr>
                <w:rFonts w:ascii="Gotham-Black" w:hAnsi="Gotham-Black" w:cs="Gotham-Black"/>
                <w:color w:val="009BDB"/>
                <w:sz w:val="19"/>
                <w:szCs w:val="19"/>
              </w:rPr>
            </w:pPr>
            <w:r>
              <w:rPr>
                <w:rFonts w:ascii="Gotham-Black" w:hAnsi="Gotham-Black" w:cs="Gotham-Black"/>
                <w:color w:val="009BDB"/>
                <w:sz w:val="19"/>
                <w:szCs w:val="19"/>
              </w:rPr>
              <w:t xml:space="preserve">Types of </w:t>
            </w:r>
            <w:proofErr w:type="spellStart"/>
            <w:r>
              <w:rPr>
                <w:rFonts w:ascii="Gotham-Black" w:hAnsi="Gotham-Black" w:cs="Gotham-Black"/>
                <w:color w:val="009BDB"/>
                <w:sz w:val="19"/>
                <w:szCs w:val="19"/>
              </w:rPr>
              <w:t>mHealth</w:t>
            </w:r>
            <w:proofErr w:type="spellEnd"/>
            <w:r>
              <w:rPr>
                <w:rFonts w:ascii="Gotham-Black" w:hAnsi="Gotham-Black" w:cs="Gotham-Black"/>
                <w:color w:val="009BDB"/>
                <w:sz w:val="19"/>
                <w:szCs w:val="19"/>
              </w:rPr>
              <w:t xml:space="preserve"> Tool</w:t>
            </w:r>
          </w:p>
        </w:tc>
        <w:tc>
          <w:tcPr>
            <w:tcW w:w="4788" w:type="dxa"/>
          </w:tcPr>
          <w:p w:rsidR="00D97DB8" w:rsidRDefault="00D97DB8" w:rsidP="00D97DB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-Black" w:hAnsi="Gotham-Black" w:cs="Gotham-Black"/>
                <w:color w:val="009BDB"/>
                <w:sz w:val="19"/>
                <w:szCs w:val="19"/>
              </w:rPr>
            </w:pPr>
            <w:r>
              <w:rPr>
                <w:rFonts w:ascii="Gotham-Black" w:hAnsi="Gotham-Black" w:cs="Gotham-Black"/>
                <w:color w:val="009BDB"/>
                <w:sz w:val="19"/>
                <w:szCs w:val="19"/>
              </w:rPr>
              <w:t>Definitions</w:t>
            </w:r>
          </w:p>
        </w:tc>
      </w:tr>
      <w:tr w:rsidR="00D97DB8" w:rsidTr="00D9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D97DB8" w:rsidRDefault="00D97DB8" w:rsidP="00D97DB8">
            <w:pPr>
              <w:autoSpaceDE w:val="0"/>
              <w:autoSpaceDN w:val="0"/>
              <w:adjustRightInd w:val="0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4788" w:type="dxa"/>
          </w:tcPr>
          <w:p w:rsidR="00D97DB8" w:rsidRPr="00D97DB8" w:rsidRDefault="00D97DB8" w:rsidP="00D97DB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</w:p>
        </w:tc>
      </w:tr>
      <w:tr w:rsidR="00D97DB8" w:rsidTr="00D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 xml:space="preserve">Patient Registration </w:t>
            </w:r>
          </w:p>
        </w:tc>
        <w:tc>
          <w:tcPr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Registering patients into a project specific or centralized database</w:t>
            </w:r>
          </w:p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over the mobile phone; this often includes creating or using unique</w:t>
            </w:r>
          </w:p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identifier numbers</w:t>
            </w:r>
          </w:p>
        </w:tc>
      </w:tr>
      <w:tr w:rsidR="00D97DB8" w:rsidTr="00D9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Patient assessment</w:t>
            </w:r>
          </w:p>
        </w:tc>
        <w:tc>
          <w:tcPr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Data collection and/or survey administration for patient identification of a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disease using a mobile phone</w:t>
            </w:r>
          </w:p>
        </w:tc>
      </w:tr>
      <w:tr w:rsidR="00D97DB8" w:rsidTr="00D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Patient monitoring</w:t>
            </w: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entry of ongoing</w:t>
            </w:r>
          </w:p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Supporting the entry of ongoing patient medical data on a mobile phone for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monitoring and data analysis</w:t>
            </w:r>
          </w:p>
        </w:tc>
      </w:tr>
      <w:tr w:rsidR="00D97DB8" w:rsidTr="00D9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Work Planning</w:t>
            </w:r>
          </w:p>
        </w:tc>
        <w:tc>
          <w:tcPr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Mobile tool supporting frontline health workers to prioritize daily, weekly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and/or monthly patient load, in addition to the messages emphasized during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an appointment, based on data from patient registration and assessment</w:t>
            </w:r>
          </w:p>
        </w:tc>
      </w:tr>
      <w:tr w:rsidR="00D97DB8" w:rsidTr="00D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Counseling</w:t>
            </w:r>
          </w:p>
        </w:tc>
        <w:tc>
          <w:tcPr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Supporting frontline health workers to deliver messages on health practices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using mobile phone features</w:t>
            </w:r>
          </w:p>
        </w:tc>
      </w:tr>
      <w:tr w:rsidR="00D97DB8" w:rsidTr="00D9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Social Networking</w:t>
            </w:r>
          </w:p>
        </w:tc>
        <w:tc>
          <w:tcPr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Mobile-based platform to facilitate collaboration and/or communication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amongst frontline health workers</w:t>
            </w:r>
          </w:p>
        </w:tc>
      </w:tr>
      <w:tr w:rsidR="00D97DB8" w:rsidTr="00D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Clinical Decision</w:t>
            </w: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Making</w:t>
            </w:r>
          </w:p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Intelligent step-by-step guide for frontline health workers to assess a</w:t>
            </w:r>
          </w:p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patient’s condition and/or inform treatment decisions; this often includes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questions for a frontline health worker to ask a patient, data inputs based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on the patients answers to the</w:t>
            </w:r>
          </w:p>
        </w:tc>
      </w:tr>
      <w:tr w:rsidR="00D97DB8" w:rsidTr="00D9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Checklist</w:t>
            </w:r>
            <w:r w:rsidR="00E6026A"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s</w:t>
            </w:r>
          </w:p>
        </w:tc>
        <w:tc>
          <w:tcPr>
            <w:tcW w:w="4788" w:type="dxa"/>
          </w:tcPr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Mobile-based lists to guide sub-activities to be performed by frontline</w:t>
            </w:r>
            <w:r w:rsidR="00E6026A"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health workers to ensure optimal quality (e.g., list for sub-activities during a</w:t>
            </w:r>
          </w:p>
          <w:p w:rsidR="00D97DB8" w:rsidRPr="00E6026A" w:rsidRDefault="00D97DB8" w:rsidP="00E6026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home visit)</w:t>
            </w:r>
          </w:p>
        </w:tc>
      </w:tr>
      <w:tr w:rsidR="00D97DB8" w:rsidTr="00D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E6026A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Mobile Learning</w:t>
            </w:r>
          </w:p>
        </w:tc>
        <w:tc>
          <w:tcPr>
            <w:tcW w:w="4788" w:type="dxa"/>
          </w:tcPr>
          <w:p w:rsidR="00D97DB8" w:rsidRPr="00E6026A" w:rsidRDefault="00E6026A" w:rsidP="00E6026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Mobile-based platform to enable frontline health workers to learn health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concepts, treatment guidelines, role expectations etc.; this may also include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options for assessment and certification</w:t>
            </w:r>
          </w:p>
        </w:tc>
      </w:tr>
      <w:tr w:rsidR="00D97DB8" w:rsidTr="00D9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E6026A" w:rsidP="00E6026A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Care Coordination</w:t>
            </w:r>
          </w:p>
        </w:tc>
        <w:tc>
          <w:tcPr>
            <w:tcW w:w="4788" w:type="dxa"/>
          </w:tcPr>
          <w:p w:rsidR="00D97DB8" w:rsidRPr="00E6026A" w:rsidRDefault="00E6026A" w:rsidP="00E6026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Coordination between frontline health workers and patients, frontline health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workers and other health professionals, and for referrals, using the features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of a mobile phone</w:t>
            </w:r>
          </w:p>
        </w:tc>
      </w:tr>
      <w:tr w:rsidR="00E6026A" w:rsidTr="00D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6026A" w:rsidRPr="00E6026A" w:rsidRDefault="00E6026A" w:rsidP="00E6026A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lastRenderedPageBreak/>
              <w:t xml:space="preserve">Compensation </w:t>
            </w:r>
          </w:p>
          <w:p w:rsidR="00E6026A" w:rsidRPr="00E6026A" w:rsidRDefault="00E6026A" w:rsidP="00E6026A">
            <w:pPr>
              <w:autoSpaceDE w:val="0"/>
              <w:autoSpaceDN w:val="0"/>
              <w:adjustRightInd w:val="0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4788" w:type="dxa"/>
          </w:tcPr>
          <w:p w:rsidR="00E6026A" w:rsidRPr="00E6026A" w:rsidRDefault="00E6026A" w:rsidP="00E602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Mobile-platform to enable faster delivery of frontline health worker salary,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performance incentives and/or resources for transportation or supplies</w:t>
            </w:r>
          </w:p>
        </w:tc>
      </w:tr>
      <w:tr w:rsidR="00D97DB8" w:rsidTr="00D9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7DB8" w:rsidRPr="00E6026A" w:rsidRDefault="00E6026A" w:rsidP="00E6026A">
            <w:pPr>
              <w:autoSpaceDE w:val="0"/>
              <w:autoSpaceDN w:val="0"/>
              <w:adjustRightInd w:val="0"/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Performance</w:t>
            </w: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b w:val="0"/>
                <w:color w:val="548DD4" w:themeColor="text2" w:themeTint="99"/>
                <w:sz w:val="16"/>
                <w:szCs w:val="16"/>
              </w:rPr>
              <w:t>Tracking</w:t>
            </w:r>
          </w:p>
        </w:tc>
        <w:tc>
          <w:tcPr>
            <w:tcW w:w="4788" w:type="dxa"/>
          </w:tcPr>
          <w:p w:rsidR="00D97DB8" w:rsidRPr="00E6026A" w:rsidRDefault="00E6026A" w:rsidP="00E602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48DD4" w:themeColor="text2" w:themeTint="99"/>
                <w:sz w:val="16"/>
                <w:szCs w:val="16"/>
              </w:rPr>
            </w:pP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Mobile-based data input of completed activities by frontline health workers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 xml:space="preserve"> </w:t>
            </w:r>
            <w:r w:rsidRPr="00E6026A">
              <w:rPr>
                <w:rFonts w:cstheme="minorHAnsi"/>
                <w:color w:val="548DD4" w:themeColor="text2" w:themeTint="99"/>
                <w:sz w:val="16"/>
                <w:szCs w:val="16"/>
              </w:rPr>
              <w:t>to monitor performance and/or calculate salary/incentive pay</w:t>
            </w:r>
          </w:p>
        </w:tc>
      </w:tr>
    </w:tbl>
    <w:p w:rsidR="00D97DB8" w:rsidRDefault="00D97DB8" w:rsidP="00301E4F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9BDB"/>
          <w:sz w:val="19"/>
          <w:szCs w:val="19"/>
        </w:rPr>
      </w:pPr>
    </w:p>
    <w:p w:rsidR="00301E4F" w:rsidRDefault="00301E4F" w:rsidP="00301E4F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b/>
          <w:sz w:val="19"/>
          <w:szCs w:val="19"/>
        </w:rPr>
      </w:pPr>
    </w:p>
    <w:p w:rsidR="00E6026A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6026A">
        <w:rPr>
          <w:rFonts w:cstheme="minorHAnsi"/>
          <w:sz w:val="32"/>
          <w:szCs w:val="32"/>
        </w:rPr>
        <w:t>Mobile Health for</w:t>
      </w:r>
      <w:r w:rsidRPr="00E6026A">
        <w:rPr>
          <w:rFonts w:cstheme="minorHAnsi"/>
          <w:sz w:val="32"/>
          <w:szCs w:val="32"/>
        </w:rPr>
        <w:t xml:space="preserve"> </w:t>
      </w:r>
      <w:r w:rsidRPr="00E6026A">
        <w:rPr>
          <w:rFonts w:cstheme="minorHAnsi"/>
          <w:sz w:val="32"/>
          <w:szCs w:val="32"/>
        </w:rPr>
        <w:t>Frontline Health Workers</w:t>
      </w:r>
    </w:p>
    <w:p w:rsidR="00E6026A" w:rsidRPr="00E6026A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E6026A" w:rsidRPr="00E6026A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6026A">
        <w:rPr>
          <w:rFonts w:cstheme="minorHAnsi"/>
          <w:sz w:val="18"/>
          <w:szCs w:val="18"/>
        </w:rPr>
        <w:t>FLHWs tend to play in rural health systems in</w:t>
      </w:r>
      <w:r w:rsidRPr="00E6026A">
        <w:rPr>
          <w:rFonts w:cstheme="minorHAnsi"/>
          <w:sz w:val="18"/>
          <w:szCs w:val="18"/>
        </w:rPr>
        <w:t xml:space="preserve"> </w:t>
      </w:r>
      <w:r w:rsidRPr="00E6026A">
        <w:rPr>
          <w:rFonts w:cstheme="minorHAnsi"/>
          <w:sz w:val="18"/>
          <w:szCs w:val="18"/>
        </w:rPr>
        <w:t>L</w:t>
      </w:r>
      <w:r w:rsidRPr="00E6026A">
        <w:rPr>
          <w:rFonts w:cstheme="minorHAnsi"/>
          <w:sz w:val="18"/>
          <w:szCs w:val="18"/>
        </w:rPr>
        <w:t xml:space="preserve">ow </w:t>
      </w:r>
      <w:r w:rsidRPr="00E6026A">
        <w:rPr>
          <w:rFonts w:cstheme="minorHAnsi"/>
          <w:sz w:val="18"/>
          <w:szCs w:val="18"/>
        </w:rPr>
        <w:t>M</w:t>
      </w:r>
      <w:r w:rsidRPr="00E6026A">
        <w:rPr>
          <w:rFonts w:cstheme="minorHAnsi"/>
          <w:sz w:val="18"/>
          <w:szCs w:val="18"/>
        </w:rPr>
        <w:t xml:space="preserve">iddle </w:t>
      </w:r>
      <w:r w:rsidRPr="00E6026A">
        <w:rPr>
          <w:rFonts w:cstheme="minorHAnsi"/>
          <w:sz w:val="18"/>
          <w:szCs w:val="18"/>
        </w:rPr>
        <w:t>I</w:t>
      </w:r>
      <w:r w:rsidRPr="00E6026A">
        <w:rPr>
          <w:rFonts w:cstheme="minorHAnsi"/>
          <w:sz w:val="18"/>
          <w:szCs w:val="18"/>
        </w:rPr>
        <w:t xml:space="preserve">ncome </w:t>
      </w:r>
      <w:r w:rsidR="001A4982" w:rsidRPr="00E6026A">
        <w:rPr>
          <w:rFonts w:cstheme="minorHAnsi"/>
          <w:sz w:val="18"/>
          <w:szCs w:val="18"/>
        </w:rPr>
        <w:t>Countries;</w:t>
      </w:r>
      <w:r w:rsidRPr="00E6026A">
        <w:rPr>
          <w:rFonts w:cstheme="minorHAnsi"/>
          <w:sz w:val="18"/>
          <w:szCs w:val="18"/>
        </w:rPr>
        <w:t xml:space="preserve"> they often receive limited training and supervision, inadequate pay and</w:t>
      </w:r>
      <w:r w:rsidRPr="00E6026A">
        <w:rPr>
          <w:rFonts w:cstheme="minorHAnsi"/>
          <w:sz w:val="18"/>
          <w:szCs w:val="18"/>
        </w:rPr>
        <w:t xml:space="preserve"> </w:t>
      </w:r>
      <w:r w:rsidRPr="00E6026A">
        <w:rPr>
          <w:rFonts w:cstheme="minorHAnsi"/>
          <w:sz w:val="18"/>
          <w:szCs w:val="18"/>
        </w:rPr>
        <w:t>few opportunities for professional development. As a result, an FLHW’s ability</w:t>
      </w:r>
      <w:r w:rsidRPr="00E6026A">
        <w:rPr>
          <w:rFonts w:cstheme="minorHAnsi"/>
          <w:sz w:val="18"/>
          <w:szCs w:val="18"/>
        </w:rPr>
        <w:t xml:space="preserve"> </w:t>
      </w:r>
      <w:r w:rsidRPr="00E6026A">
        <w:rPr>
          <w:rFonts w:cstheme="minorHAnsi"/>
          <w:sz w:val="18"/>
          <w:szCs w:val="18"/>
        </w:rPr>
        <w:t>to support the adoption of life-saving health commodities to improve health</w:t>
      </w:r>
      <w:r w:rsidRPr="00E6026A">
        <w:rPr>
          <w:rFonts w:cstheme="minorHAnsi"/>
          <w:sz w:val="18"/>
          <w:szCs w:val="18"/>
        </w:rPr>
        <w:t xml:space="preserve"> </w:t>
      </w:r>
      <w:r w:rsidRPr="00E6026A">
        <w:rPr>
          <w:rFonts w:cstheme="minorHAnsi"/>
          <w:sz w:val="18"/>
          <w:szCs w:val="18"/>
        </w:rPr>
        <w:t>outcomes for women and children is often compromised.</w:t>
      </w:r>
    </w:p>
    <w:p w:rsidR="00E6026A" w:rsidRPr="00E6026A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E6026A" w:rsidRPr="00E6026A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  <w:r w:rsidRPr="00E6026A">
        <w:rPr>
          <w:rFonts w:cstheme="minorHAnsi"/>
          <w:sz w:val="18"/>
          <w:szCs w:val="18"/>
        </w:rPr>
        <w:t>Some application can be use (</w:t>
      </w:r>
      <w:r w:rsidRPr="00E6026A">
        <w:rPr>
          <w:rFonts w:cstheme="minorHAnsi"/>
          <w:sz w:val="18"/>
          <w:szCs w:val="18"/>
        </w:rPr>
        <w:t>mobile technology</w:t>
      </w:r>
      <w:r w:rsidRPr="00E6026A">
        <w:rPr>
          <w:rFonts w:cstheme="minorHAnsi"/>
          <w:sz w:val="18"/>
          <w:szCs w:val="18"/>
        </w:rPr>
        <w:t>)</w:t>
      </w:r>
      <w:r w:rsidRPr="00E6026A">
        <w:rPr>
          <w:rFonts w:cstheme="minorHAnsi"/>
          <w:sz w:val="18"/>
          <w:szCs w:val="18"/>
        </w:rPr>
        <w:t xml:space="preserve"> to support</w:t>
      </w:r>
      <w:r w:rsidRPr="00E6026A">
        <w:rPr>
          <w:rFonts w:cstheme="minorHAnsi"/>
          <w:sz w:val="18"/>
          <w:szCs w:val="18"/>
        </w:rPr>
        <w:t xml:space="preserve"> </w:t>
      </w:r>
      <w:r w:rsidRPr="00E6026A">
        <w:rPr>
          <w:rFonts w:cstheme="minorHAnsi"/>
          <w:sz w:val="18"/>
          <w:szCs w:val="18"/>
        </w:rPr>
        <w:t>the performance and accountability of FLHWs in delivering high-quality care</w:t>
      </w:r>
      <w:r w:rsidRPr="00E6026A">
        <w:rPr>
          <w:rFonts w:cstheme="minorHAnsi"/>
          <w:sz w:val="18"/>
          <w:szCs w:val="18"/>
        </w:rPr>
        <w:t xml:space="preserve"> </w:t>
      </w:r>
      <w:r w:rsidRPr="00E6026A">
        <w:rPr>
          <w:rFonts w:cstheme="minorHAnsi"/>
          <w:sz w:val="18"/>
          <w:szCs w:val="18"/>
        </w:rPr>
        <w:t>by improving access to information and tools across the continuum of care for</w:t>
      </w:r>
      <w:r w:rsidR="001A4982">
        <w:rPr>
          <w:rFonts w:cstheme="minorHAnsi"/>
          <w:sz w:val="18"/>
          <w:szCs w:val="18"/>
        </w:rPr>
        <w:t xml:space="preserve"> </w:t>
      </w:r>
      <w:r w:rsidRPr="00E6026A">
        <w:rPr>
          <w:rFonts w:cstheme="minorHAnsi"/>
          <w:sz w:val="18"/>
          <w:szCs w:val="18"/>
        </w:rPr>
        <w:t xml:space="preserve">women and children. This includes the use of mobile technology to: </w:t>
      </w:r>
    </w:p>
    <w:p w:rsidR="00E6026A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</w:p>
    <w:p w:rsidR="002E6241" w:rsidRDefault="002E624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  <w:r w:rsidRPr="00E6026A">
        <w:rPr>
          <w:rFonts w:cstheme="minorHAnsi"/>
          <w:color w:val="548DD4" w:themeColor="text2" w:themeTint="99"/>
          <w:sz w:val="18"/>
          <w:szCs w:val="18"/>
        </w:rPr>
        <w:t>Support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end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>to-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>end patient management, including registration, assessment and monitoring;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</w:t>
      </w:r>
    </w:p>
    <w:p w:rsidR="002E6241" w:rsidRDefault="002E624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  <w:r w:rsidRPr="00E6026A">
        <w:rPr>
          <w:rFonts w:cstheme="minorHAnsi"/>
          <w:color w:val="548DD4" w:themeColor="text2" w:themeTint="99"/>
          <w:sz w:val="18"/>
          <w:szCs w:val="18"/>
        </w:rPr>
        <w:t>Improve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productivity using tools to organize daily work plans; </w:t>
      </w:r>
    </w:p>
    <w:p w:rsidR="002E6241" w:rsidRDefault="002E624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  <w:r w:rsidRPr="00E6026A">
        <w:rPr>
          <w:rFonts w:cstheme="minorHAnsi"/>
          <w:color w:val="548DD4" w:themeColor="text2" w:themeTint="99"/>
          <w:sz w:val="18"/>
          <w:szCs w:val="18"/>
        </w:rPr>
        <w:t>Reinforce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training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and health </w:t>
      </w:r>
      <w:r w:rsidR="001A4982" w:rsidRPr="00E6026A">
        <w:rPr>
          <w:rFonts w:cstheme="minorHAnsi"/>
          <w:color w:val="548DD4" w:themeColor="text2" w:themeTint="99"/>
          <w:sz w:val="18"/>
          <w:szCs w:val="18"/>
        </w:rPr>
        <w:t>behavior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messages for FLHWs and patients through learning modules;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</w:t>
      </w:r>
    </w:p>
    <w:p w:rsidR="002E6241" w:rsidRDefault="002E624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  <w:r>
        <w:rPr>
          <w:rFonts w:cstheme="minorHAnsi"/>
          <w:color w:val="548DD4" w:themeColor="text2" w:themeTint="99"/>
          <w:sz w:val="18"/>
          <w:szCs w:val="18"/>
        </w:rPr>
        <w:t>P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>rovide more standardized and quality care through checklists and clinical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</w:t>
      </w:r>
      <w:r>
        <w:rPr>
          <w:rFonts w:cstheme="minorHAnsi"/>
          <w:color w:val="548DD4" w:themeColor="text2" w:themeTint="99"/>
          <w:sz w:val="18"/>
          <w:szCs w:val="18"/>
        </w:rPr>
        <w:t xml:space="preserve">decision support; and </w:t>
      </w:r>
    </w:p>
    <w:p w:rsidR="00E6026A" w:rsidRDefault="002E624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  <w:r>
        <w:rPr>
          <w:rFonts w:cstheme="minorHAnsi"/>
          <w:color w:val="548DD4" w:themeColor="text2" w:themeTint="99"/>
          <w:sz w:val="18"/>
          <w:szCs w:val="18"/>
        </w:rPr>
        <w:t>R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>educe the time to distribute compensation, performance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 xml:space="preserve"> </w:t>
      </w:r>
      <w:r w:rsidR="00E6026A" w:rsidRPr="00E6026A">
        <w:rPr>
          <w:rFonts w:cstheme="minorHAnsi"/>
          <w:color w:val="548DD4" w:themeColor="text2" w:themeTint="99"/>
          <w:sz w:val="18"/>
          <w:szCs w:val="18"/>
        </w:rPr>
        <w:t>incentives and/or travel reimbursements to FLHWs.</w:t>
      </w:r>
    </w:p>
    <w:p w:rsidR="00E6026A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</w:p>
    <w:p w:rsidR="00E6026A" w:rsidRPr="00D0241B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0241B">
        <w:rPr>
          <w:rFonts w:cstheme="minorHAnsi"/>
          <w:sz w:val="32"/>
          <w:szCs w:val="32"/>
        </w:rPr>
        <w:t>Overall Findings</w:t>
      </w:r>
    </w:p>
    <w:p w:rsidR="00E6026A" w:rsidRPr="00D0241B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2257D1" w:rsidRPr="001A4982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 xml:space="preserve">The most common platforms supporting the development of </w:t>
      </w:r>
      <w:proofErr w:type="spellStart"/>
      <w:r w:rsidRPr="001A4982">
        <w:rPr>
          <w:rFonts w:cstheme="minorHAnsi"/>
          <w:sz w:val="18"/>
          <w:szCs w:val="18"/>
        </w:rPr>
        <w:t>mHealth</w:t>
      </w:r>
      <w:proofErr w:type="spellEnd"/>
      <w:r w:rsidRPr="001A4982">
        <w:rPr>
          <w:rFonts w:cstheme="minorHAnsi"/>
          <w:sz w:val="18"/>
          <w:szCs w:val="18"/>
        </w:rPr>
        <w:t xml:space="preserve"> tools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found</w:t>
      </w:r>
      <w:r w:rsidR="002257D1" w:rsidRPr="001A4982">
        <w:rPr>
          <w:rFonts w:cstheme="minorHAnsi"/>
          <w:sz w:val="18"/>
          <w:szCs w:val="18"/>
        </w:rPr>
        <w:t>:</w:t>
      </w:r>
    </w:p>
    <w:p w:rsidR="002257D1" w:rsidRPr="001A4982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18"/>
          <w:szCs w:val="18"/>
        </w:rPr>
      </w:pPr>
      <w:proofErr w:type="spellStart"/>
      <w:proofErr w:type="gramStart"/>
      <w:r w:rsidRPr="001A4982">
        <w:rPr>
          <w:rFonts w:cstheme="minorHAnsi"/>
          <w:color w:val="548DD4" w:themeColor="text2" w:themeTint="99"/>
          <w:sz w:val="18"/>
          <w:szCs w:val="18"/>
        </w:rPr>
        <w:t>CommCare</w:t>
      </w:r>
      <w:proofErr w:type="spellEnd"/>
      <w:r w:rsidRPr="001A4982">
        <w:rPr>
          <w:rFonts w:cstheme="minorHAnsi"/>
          <w:color w:val="548DD4" w:themeColor="text2" w:themeTint="99"/>
          <w:sz w:val="18"/>
          <w:szCs w:val="18"/>
        </w:rPr>
        <w:t>, MOTECH, Open Medical Record</w:t>
      </w:r>
      <w:r w:rsidR="002257D1" w:rsidRPr="001A4982">
        <w:rPr>
          <w:rFonts w:cstheme="minorHAnsi"/>
          <w:color w:val="548DD4" w:themeColor="text2" w:themeTint="99"/>
          <w:sz w:val="18"/>
          <w:szCs w:val="18"/>
        </w:rPr>
        <w:t xml:space="preserve"> </w:t>
      </w:r>
      <w:r w:rsidRPr="001A4982">
        <w:rPr>
          <w:rFonts w:cstheme="minorHAnsi"/>
          <w:color w:val="548DD4" w:themeColor="text2" w:themeTint="99"/>
          <w:sz w:val="18"/>
          <w:szCs w:val="18"/>
        </w:rPr>
        <w:t>System (</w:t>
      </w:r>
      <w:proofErr w:type="spellStart"/>
      <w:r w:rsidRPr="001A4982">
        <w:rPr>
          <w:rFonts w:cstheme="minorHAnsi"/>
          <w:color w:val="548DD4" w:themeColor="text2" w:themeTint="99"/>
          <w:sz w:val="18"/>
          <w:szCs w:val="18"/>
        </w:rPr>
        <w:t>OpenMRS</w:t>
      </w:r>
      <w:proofErr w:type="spellEnd"/>
      <w:r w:rsidRPr="001A4982">
        <w:rPr>
          <w:rFonts w:cstheme="minorHAnsi"/>
          <w:color w:val="548DD4" w:themeColor="text2" w:themeTint="99"/>
          <w:sz w:val="18"/>
          <w:szCs w:val="18"/>
        </w:rPr>
        <w:t>), Open Logistic Management Information System (Open-</w:t>
      </w:r>
      <w:r w:rsidR="002257D1" w:rsidRPr="001A4982">
        <w:rPr>
          <w:rFonts w:cstheme="minorHAnsi"/>
          <w:color w:val="548DD4" w:themeColor="text2" w:themeTint="99"/>
          <w:sz w:val="18"/>
          <w:szCs w:val="18"/>
        </w:rPr>
        <w:t xml:space="preserve"> </w:t>
      </w:r>
      <w:r w:rsidRPr="001A4982">
        <w:rPr>
          <w:rFonts w:cstheme="minorHAnsi"/>
          <w:color w:val="548DD4" w:themeColor="text2" w:themeTint="99"/>
          <w:sz w:val="18"/>
          <w:szCs w:val="18"/>
        </w:rPr>
        <w:t xml:space="preserve">LMIS), INSTEDD, </w:t>
      </w:r>
      <w:proofErr w:type="spellStart"/>
      <w:r w:rsidRPr="001A4982">
        <w:rPr>
          <w:rFonts w:cstheme="minorHAnsi"/>
          <w:color w:val="548DD4" w:themeColor="text2" w:themeTint="99"/>
          <w:sz w:val="18"/>
          <w:szCs w:val="18"/>
        </w:rPr>
        <w:t>FrontlineSMS</w:t>
      </w:r>
      <w:proofErr w:type="spellEnd"/>
      <w:r w:rsidRPr="001A4982">
        <w:rPr>
          <w:rFonts w:cstheme="minorHAnsi"/>
          <w:color w:val="548DD4" w:themeColor="text2" w:themeTint="99"/>
          <w:sz w:val="18"/>
          <w:szCs w:val="18"/>
        </w:rPr>
        <w:t>, IQSMS and IQGEO.</w:t>
      </w:r>
      <w:proofErr w:type="gramEnd"/>
      <w:r w:rsidRPr="001A4982">
        <w:rPr>
          <w:rFonts w:cstheme="minorHAnsi"/>
          <w:color w:val="548DD4" w:themeColor="text2" w:themeTint="99"/>
          <w:sz w:val="18"/>
          <w:szCs w:val="18"/>
        </w:rPr>
        <w:t xml:space="preserve"> </w:t>
      </w:r>
    </w:p>
    <w:p w:rsidR="002257D1" w:rsidRPr="001A4982" w:rsidRDefault="002257D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2257D1" w:rsidRPr="001A4982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>Mobile health tools are built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on top of these platforms, each providing access to various types of mobile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features, such as Short Messaging Service (SMS), Interactive Voice Response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(IVR), forms for data collection, and application architecture, to create custom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 xml:space="preserve">solutions using different content. </w:t>
      </w:r>
    </w:p>
    <w:p w:rsidR="002257D1" w:rsidRPr="001A4982" w:rsidRDefault="002257D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2257D1" w:rsidRPr="001A4982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 xml:space="preserve">In 2013, with the support of the </w:t>
      </w:r>
      <w:proofErr w:type="spellStart"/>
      <w:r w:rsidRPr="001A4982">
        <w:rPr>
          <w:rFonts w:cstheme="minorHAnsi"/>
          <w:sz w:val="18"/>
          <w:szCs w:val="18"/>
        </w:rPr>
        <w:t>Grameen</w:t>
      </w:r>
      <w:proofErr w:type="spellEnd"/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Foundation and the Bill and Melinda Gates Foundation, a consortium of platform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 xml:space="preserve">partners, called MOTECH Suite, which includes </w:t>
      </w:r>
      <w:proofErr w:type="spellStart"/>
      <w:r w:rsidRPr="001A4982">
        <w:rPr>
          <w:rFonts w:cstheme="minorHAnsi"/>
          <w:sz w:val="18"/>
          <w:szCs w:val="18"/>
        </w:rPr>
        <w:t>CommCare</w:t>
      </w:r>
      <w:proofErr w:type="spellEnd"/>
      <w:r w:rsidRPr="001A4982">
        <w:rPr>
          <w:rFonts w:cstheme="minorHAnsi"/>
          <w:sz w:val="18"/>
          <w:szCs w:val="18"/>
        </w:rPr>
        <w:t>, MOTECH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 xml:space="preserve">and </w:t>
      </w:r>
      <w:proofErr w:type="spellStart"/>
      <w:r w:rsidRPr="001A4982">
        <w:rPr>
          <w:rFonts w:cstheme="minorHAnsi"/>
          <w:sz w:val="18"/>
          <w:szCs w:val="18"/>
        </w:rPr>
        <w:t>OpenMRS</w:t>
      </w:r>
      <w:proofErr w:type="spellEnd"/>
      <w:r w:rsidRPr="001A4982">
        <w:rPr>
          <w:rFonts w:cstheme="minorHAnsi"/>
          <w:sz w:val="18"/>
          <w:szCs w:val="18"/>
        </w:rPr>
        <w:t xml:space="preserve"> amongst others, was established to provide developers, NGOs,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governments and/or private companies with a comprehensive set of services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 xml:space="preserve">under a single umbrella, in the form of an integrated information system. </w:t>
      </w:r>
    </w:p>
    <w:p w:rsidR="002257D1" w:rsidRPr="001A4982" w:rsidRDefault="002257D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E6026A" w:rsidRPr="001A4982" w:rsidRDefault="00E6026A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>The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 xml:space="preserve">MOTECH Suite supports five key functional </w:t>
      </w:r>
      <w:proofErr w:type="spellStart"/>
      <w:r w:rsidRPr="001A4982">
        <w:rPr>
          <w:rFonts w:cstheme="minorHAnsi"/>
          <w:sz w:val="18"/>
          <w:szCs w:val="18"/>
        </w:rPr>
        <w:t>mHealth</w:t>
      </w:r>
      <w:proofErr w:type="spellEnd"/>
      <w:r w:rsidRPr="001A4982">
        <w:rPr>
          <w:rFonts w:cstheme="minorHAnsi"/>
          <w:sz w:val="18"/>
          <w:szCs w:val="18"/>
        </w:rPr>
        <w:t xml:space="preserve"> areas including: </w:t>
      </w:r>
      <w:r w:rsidR="002257D1" w:rsidRPr="001A4982">
        <w:rPr>
          <w:rFonts w:cstheme="minorHAnsi"/>
          <w:sz w:val="18"/>
          <w:szCs w:val="18"/>
        </w:rPr>
        <w:t xml:space="preserve">behavior </w:t>
      </w:r>
      <w:r w:rsidRPr="001A4982">
        <w:rPr>
          <w:rFonts w:cstheme="minorHAnsi"/>
          <w:sz w:val="18"/>
          <w:szCs w:val="18"/>
        </w:rPr>
        <w:t>change and demand generation, managing patient data, improving worker</w:t>
      </w:r>
      <w:r w:rsidR="002257D1"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performance, last mile supply chain and patient adherence.</w:t>
      </w:r>
    </w:p>
    <w:p w:rsidR="002257D1" w:rsidRPr="001A4982" w:rsidRDefault="002257D1" w:rsidP="00E602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2257D1" w:rsidRPr="001A4982" w:rsidRDefault="002257D1" w:rsidP="002257D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 xml:space="preserve">Further, as </w:t>
      </w:r>
      <w:proofErr w:type="spellStart"/>
      <w:r w:rsidRPr="001A4982">
        <w:rPr>
          <w:rFonts w:cstheme="minorHAnsi"/>
          <w:sz w:val="18"/>
          <w:szCs w:val="18"/>
        </w:rPr>
        <w:t>mHealth</w:t>
      </w:r>
      <w:proofErr w:type="spellEnd"/>
      <w:r w:rsidRPr="001A4982">
        <w:rPr>
          <w:rFonts w:cstheme="minorHAnsi"/>
          <w:sz w:val="18"/>
          <w:szCs w:val="18"/>
        </w:rPr>
        <w:t xml:space="preserve"> tools for FLHWs continue to advance in features and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functionality, the next stage of integration will be with national health information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systems and electronic medical records, of which the research shows early signs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on in India and Tanzania</w:t>
      </w:r>
    </w:p>
    <w:p w:rsidR="002257D1" w:rsidRPr="001A4982" w:rsidRDefault="002257D1" w:rsidP="002257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</w:rPr>
      </w:pPr>
    </w:p>
    <w:p w:rsidR="002257D1" w:rsidRPr="001A4982" w:rsidRDefault="002257D1" w:rsidP="00225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1A4982">
        <w:rPr>
          <w:rFonts w:cstheme="minorHAnsi"/>
          <w:sz w:val="18"/>
          <w:szCs w:val="18"/>
        </w:rPr>
        <w:t xml:space="preserve">They </w:t>
      </w:r>
      <w:r w:rsidRPr="001A4982">
        <w:rPr>
          <w:rFonts w:cstheme="minorHAnsi"/>
          <w:color w:val="000000"/>
          <w:sz w:val="18"/>
          <w:szCs w:val="18"/>
        </w:rPr>
        <w:t>have organized the 12 types of</w:t>
      </w:r>
      <w:r w:rsidRPr="001A4982">
        <w:rPr>
          <w:rFonts w:cstheme="minorHAnsi"/>
          <w:color w:val="000000"/>
          <w:sz w:val="18"/>
          <w:szCs w:val="18"/>
        </w:rPr>
        <w:t xml:space="preserve"> </w:t>
      </w:r>
      <w:r w:rsidRPr="001A4982">
        <w:rPr>
          <w:rFonts w:cstheme="minorHAnsi"/>
          <w:color w:val="000000"/>
          <w:sz w:val="18"/>
          <w:szCs w:val="18"/>
        </w:rPr>
        <w:t>mobile tools in the database into six categories:</w:t>
      </w:r>
    </w:p>
    <w:p w:rsidR="002257D1" w:rsidRPr="001A4982" w:rsidRDefault="002257D1" w:rsidP="00225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8"/>
          <w:szCs w:val="18"/>
        </w:rPr>
      </w:pPr>
      <w:r w:rsidRPr="001A4982">
        <w:rPr>
          <w:rFonts w:cstheme="minorHAnsi"/>
          <w:color w:val="009BDB"/>
          <w:sz w:val="18"/>
          <w:szCs w:val="18"/>
        </w:rPr>
        <w:t>Patient Management</w:t>
      </w:r>
      <w:r w:rsidRPr="001A4982">
        <w:rPr>
          <w:rFonts w:cstheme="minorHAnsi"/>
          <w:color w:val="009BDB"/>
          <w:sz w:val="18"/>
          <w:szCs w:val="18"/>
        </w:rPr>
        <w:t xml:space="preserve">: </w:t>
      </w:r>
    </w:p>
    <w:p w:rsidR="002257D1" w:rsidRPr="001A4982" w:rsidRDefault="002257D1" w:rsidP="002257D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>R</w:t>
      </w:r>
      <w:r w:rsidRPr="001A4982">
        <w:rPr>
          <w:rFonts w:cstheme="minorHAnsi"/>
          <w:sz w:val="18"/>
          <w:szCs w:val="18"/>
        </w:rPr>
        <w:t>egistering,</w:t>
      </w:r>
      <w:r w:rsid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assessing and monitoring patients on treatment to alleviate a disease, those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at risk of a disease, and/or women during a pregnancy cycle</w:t>
      </w:r>
      <w:r w:rsidRPr="001A4982">
        <w:rPr>
          <w:rFonts w:cstheme="minorHAnsi"/>
          <w:sz w:val="18"/>
          <w:szCs w:val="18"/>
        </w:rPr>
        <w:t>.</w:t>
      </w:r>
    </w:p>
    <w:p w:rsidR="002257D1" w:rsidRPr="001A4982" w:rsidRDefault="002257D1" w:rsidP="002257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 xml:space="preserve">IVR was the least used technology to support patient management </w:t>
      </w:r>
      <w:proofErr w:type="spellStart"/>
      <w:r w:rsidRPr="001A4982">
        <w:rPr>
          <w:rFonts w:cstheme="minorHAnsi"/>
          <w:sz w:val="18"/>
          <w:szCs w:val="18"/>
        </w:rPr>
        <w:t>mHealth</w:t>
      </w:r>
      <w:proofErr w:type="spellEnd"/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tools, in comparison to pre-loaded applications, data-supported applications,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and SMS, which were all highly represented.</w:t>
      </w:r>
    </w:p>
    <w:p w:rsidR="00D0241B" w:rsidRPr="001A4982" w:rsidRDefault="00D0241B" w:rsidP="002257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9BDB"/>
          <w:sz w:val="18"/>
          <w:szCs w:val="18"/>
        </w:rPr>
      </w:pPr>
    </w:p>
    <w:p w:rsidR="002257D1" w:rsidRPr="001A4982" w:rsidRDefault="002257D1" w:rsidP="00225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8"/>
          <w:szCs w:val="18"/>
        </w:rPr>
      </w:pPr>
      <w:r w:rsidRPr="001A4982">
        <w:rPr>
          <w:rFonts w:cstheme="minorHAnsi"/>
          <w:color w:val="009BDB"/>
          <w:sz w:val="18"/>
          <w:szCs w:val="18"/>
        </w:rPr>
        <w:t>Work Planning and Scheduling</w:t>
      </w:r>
    </w:p>
    <w:p w:rsidR="002257D1" w:rsidRPr="001A4982" w:rsidRDefault="002257D1" w:rsidP="00D024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>T</w:t>
      </w:r>
      <w:r w:rsidRPr="001A4982">
        <w:rPr>
          <w:rFonts w:cstheme="minorHAnsi"/>
          <w:sz w:val="18"/>
          <w:szCs w:val="18"/>
        </w:rPr>
        <w:t>o organize and prioritize daily patient load and provide guidance on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specific content that should be delivered to a patient, depending on factors such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as pregnancy semester, existing health conditions or age of child.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9BDB"/>
          <w:sz w:val="18"/>
          <w:szCs w:val="18"/>
        </w:rPr>
      </w:pPr>
    </w:p>
    <w:p w:rsidR="002257D1" w:rsidRPr="001A4982" w:rsidRDefault="002257D1" w:rsidP="00D024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8"/>
          <w:szCs w:val="18"/>
        </w:rPr>
      </w:pPr>
      <w:r w:rsidRPr="001A4982">
        <w:rPr>
          <w:rFonts w:cstheme="minorHAnsi"/>
          <w:color w:val="009BDB"/>
          <w:sz w:val="18"/>
          <w:szCs w:val="18"/>
        </w:rPr>
        <w:lastRenderedPageBreak/>
        <w:t>Education and Awareness</w:t>
      </w:r>
    </w:p>
    <w:p w:rsidR="00D0241B" w:rsidRPr="001A4982" w:rsidRDefault="00D0241B" w:rsidP="00D0241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>T</w:t>
      </w:r>
      <w:r w:rsidRPr="001A4982">
        <w:rPr>
          <w:rFonts w:cstheme="minorHAnsi"/>
          <w:sz w:val="18"/>
          <w:szCs w:val="18"/>
        </w:rPr>
        <w:t>o refresh their knowledge on health practices (“</w:t>
      </w:r>
      <w:proofErr w:type="spellStart"/>
      <w:r w:rsidRPr="001A4982">
        <w:rPr>
          <w:rFonts w:cstheme="minorHAnsi"/>
          <w:sz w:val="18"/>
          <w:szCs w:val="18"/>
        </w:rPr>
        <w:t>mLearning</w:t>
      </w:r>
      <w:proofErr w:type="spellEnd"/>
      <w:r w:rsidRPr="001A4982">
        <w:rPr>
          <w:rFonts w:cstheme="minorHAnsi"/>
          <w:sz w:val="18"/>
          <w:szCs w:val="18"/>
        </w:rPr>
        <w:t>”), and/or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support FLHWs communications and influence the adoption of health practices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during counseling sessions with patients and their families.</w:t>
      </w:r>
    </w:p>
    <w:p w:rsidR="00D0241B" w:rsidRPr="001A4982" w:rsidRDefault="00D0241B" w:rsidP="00D0241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8"/>
          <w:szCs w:val="18"/>
        </w:rPr>
      </w:pPr>
    </w:p>
    <w:p w:rsidR="002257D1" w:rsidRPr="001A4982" w:rsidRDefault="002257D1" w:rsidP="00D024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8"/>
          <w:szCs w:val="18"/>
        </w:rPr>
      </w:pPr>
      <w:r w:rsidRPr="001A4982">
        <w:rPr>
          <w:rFonts w:cstheme="minorHAnsi"/>
          <w:color w:val="009BDB"/>
          <w:sz w:val="18"/>
          <w:szCs w:val="18"/>
        </w:rPr>
        <w:t>Clinical Support and Quality Care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>U</w:t>
      </w:r>
      <w:r w:rsidRPr="001A4982">
        <w:rPr>
          <w:rFonts w:cstheme="minorHAnsi"/>
          <w:sz w:val="18"/>
          <w:szCs w:val="18"/>
        </w:rPr>
        <w:t>tilize algorithms to assist in clinical decision making,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provide checklists to support standardized and recommended care and provide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directories to coordinate with other health professionals for referrals and advice.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9BDB"/>
          <w:sz w:val="18"/>
          <w:szCs w:val="18"/>
        </w:rPr>
      </w:pPr>
    </w:p>
    <w:p w:rsidR="002257D1" w:rsidRPr="001A4982" w:rsidRDefault="002257D1" w:rsidP="00D024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8"/>
          <w:szCs w:val="18"/>
        </w:rPr>
      </w:pPr>
      <w:r w:rsidRPr="001A4982">
        <w:rPr>
          <w:rFonts w:cstheme="minorHAnsi"/>
          <w:color w:val="009BDB"/>
          <w:sz w:val="18"/>
          <w:szCs w:val="18"/>
        </w:rPr>
        <w:t>Performance Management and Compensation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1A4982">
        <w:rPr>
          <w:rFonts w:cstheme="minorHAnsi"/>
          <w:sz w:val="18"/>
          <w:szCs w:val="18"/>
        </w:rPr>
        <w:t>A</w:t>
      </w:r>
      <w:r w:rsidRPr="001A4982">
        <w:rPr>
          <w:rFonts w:cstheme="minorHAnsi"/>
          <w:sz w:val="18"/>
          <w:szCs w:val="18"/>
        </w:rPr>
        <w:t xml:space="preserve"> supervisory structure</w:t>
      </w:r>
      <w:proofErr w:type="gramEnd"/>
      <w:r w:rsidRPr="001A4982">
        <w:rPr>
          <w:rFonts w:cstheme="minorHAnsi"/>
          <w:sz w:val="18"/>
          <w:szCs w:val="18"/>
        </w:rPr>
        <w:t xml:space="preserve"> that offers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feedback and coaching, in addition to providing FLHWs with timely and consistent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compensation, incentives and/or subsides are important functions that</w:t>
      </w:r>
      <w:r w:rsidRPr="001A4982">
        <w:rPr>
          <w:rFonts w:cstheme="minorHAnsi"/>
          <w:sz w:val="18"/>
          <w:szCs w:val="18"/>
        </w:rPr>
        <w:t xml:space="preserve"> </w:t>
      </w:r>
      <w:proofErr w:type="spellStart"/>
      <w:r w:rsidRPr="001A4982">
        <w:rPr>
          <w:rFonts w:cstheme="minorHAnsi"/>
          <w:sz w:val="18"/>
          <w:szCs w:val="18"/>
        </w:rPr>
        <w:t>mHealth</w:t>
      </w:r>
      <w:proofErr w:type="spellEnd"/>
      <w:r w:rsidRPr="001A4982">
        <w:rPr>
          <w:rFonts w:cstheme="minorHAnsi"/>
          <w:sz w:val="18"/>
          <w:szCs w:val="18"/>
        </w:rPr>
        <w:t xml:space="preserve"> tools can enable.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9BDB"/>
          <w:sz w:val="18"/>
          <w:szCs w:val="18"/>
        </w:rPr>
      </w:pPr>
    </w:p>
    <w:p w:rsidR="002257D1" w:rsidRPr="001A4982" w:rsidRDefault="002257D1" w:rsidP="002257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9BDB"/>
          <w:sz w:val="18"/>
          <w:szCs w:val="18"/>
        </w:rPr>
      </w:pPr>
      <w:r w:rsidRPr="001A4982">
        <w:rPr>
          <w:rFonts w:cstheme="minorHAnsi"/>
          <w:color w:val="009BDB"/>
          <w:sz w:val="18"/>
          <w:szCs w:val="18"/>
        </w:rPr>
        <w:t>6. Information Systems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>It is c</w:t>
      </w:r>
      <w:r w:rsidRPr="001A4982">
        <w:rPr>
          <w:rFonts w:cstheme="minorHAnsi"/>
          <w:sz w:val="18"/>
          <w:szCs w:val="18"/>
        </w:rPr>
        <w:t>oncerned with the linkages across data collection,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 xml:space="preserve">storage, processing and use. Information systems include the </w:t>
      </w:r>
      <w:proofErr w:type="spellStart"/>
      <w:r w:rsidRPr="001A4982">
        <w:rPr>
          <w:rFonts w:cstheme="minorHAnsi"/>
          <w:sz w:val="18"/>
          <w:szCs w:val="18"/>
        </w:rPr>
        <w:t>mHealth</w:t>
      </w:r>
      <w:proofErr w:type="spellEnd"/>
      <w:r w:rsidRPr="001A4982">
        <w:rPr>
          <w:rFonts w:cstheme="minorHAnsi"/>
          <w:sz w:val="18"/>
          <w:szCs w:val="18"/>
        </w:rPr>
        <w:t xml:space="preserve"> tool and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complementary components (e.g., data warehouse)</w:t>
      </w:r>
      <w:r w:rsidRPr="001A4982">
        <w:rPr>
          <w:rFonts w:cstheme="minorHAnsi"/>
          <w:sz w:val="18"/>
          <w:szCs w:val="18"/>
        </w:rPr>
        <w:t>.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>Furthermore, the data can be linked to a national health information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system and used to support disease surveillance, management and distribution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of health services and products, and policy development.</w:t>
      </w:r>
    </w:p>
    <w:p w:rsidR="00586E24" w:rsidRPr="001A4982" w:rsidRDefault="00586E24" w:rsidP="00586E24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E6026A" w:rsidRPr="001A4982" w:rsidRDefault="00D0241B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A4982">
        <w:rPr>
          <w:rFonts w:cstheme="minorHAnsi"/>
          <w:sz w:val="32"/>
          <w:szCs w:val="32"/>
        </w:rPr>
        <w:t>Framework for Mobile</w:t>
      </w:r>
      <w:r w:rsidRPr="001A4982">
        <w:rPr>
          <w:rFonts w:cstheme="minorHAnsi"/>
          <w:sz w:val="32"/>
          <w:szCs w:val="32"/>
        </w:rPr>
        <w:t xml:space="preserve"> </w:t>
      </w:r>
      <w:r w:rsidRPr="001A4982">
        <w:rPr>
          <w:rFonts w:cstheme="minorHAnsi"/>
          <w:sz w:val="32"/>
          <w:szCs w:val="32"/>
        </w:rPr>
        <w:t>Content Adaptation</w:t>
      </w:r>
    </w:p>
    <w:p w:rsidR="001A4982" w:rsidRDefault="001A4982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sz w:val="18"/>
          <w:szCs w:val="18"/>
        </w:rPr>
        <w:t xml:space="preserve">It </w:t>
      </w:r>
      <w:r w:rsidRPr="001A4982">
        <w:rPr>
          <w:rFonts w:cstheme="minorHAnsi"/>
          <w:sz w:val="18"/>
          <w:szCs w:val="18"/>
        </w:rPr>
        <w:t>outlines the process for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adapting paper-based content into mobile phone-friendly content in a way that</w:t>
      </w:r>
      <w:r w:rsid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takes the end-user’s needs, literacy, technological feasibility and human resource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capacity into account.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b/>
          <w:sz w:val="18"/>
          <w:szCs w:val="18"/>
          <w:u w:val="single"/>
        </w:rPr>
        <w:t>Phase 1</w:t>
      </w:r>
      <w:r w:rsidRPr="001A4982">
        <w:rPr>
          <w:rFonts w:cstheme="minorHAnsi"/>
          <w:sz w:val="18"/>
          <w:szCs w:val="18"/>
        </w:rPr>
        <w:t xml:space="preserve"> outlines the research required to understand the end-user to select the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most appropriate mobile communication medium to deliver the content (e.g.,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SMS, IVR) and to craft the language of the content in a way that aligns with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the workflow, beliefs, knowledge gaps, and terminology of the end-user.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b/>
          <w:sz w:val="18"/>
          <w:szCs w:val="18"/>
          <w:u w:val="single"/>
        </w:rPr>
        <w:t>Phase 2</w:t>
      </w:r>
      <w:r w:rsidRPr="001A4982">
        <w:rPr>
          <w:rFonts w:cstheme="minorHAnsi"/>
          <w:sz w:val="18"/>
          <w:szCs w:val="18"/>
        </w:rPr>
        <w:t xml:space="preserve"> is a guide to select the communication medium in a way that aligns the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technology with the needs and preferences of the end-user, and the capacity and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resources of the implementing organization.</w:t>
      </w:r>
    </w:p>
    <w:p w:rsidR="00D0241B" w:rsidRPr="001A4982" w:rsidRDefault="00D0241B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  <w:u w:val="single"/>
        </w:rPr>
      </w:pPr>
    </w:p>
    <w:p w:rsidR="00D0241B" w:rsidRDefault="00D0241B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A4982">
        <w:rPr>
          <w:rFonts w:cstheme="minorHAnsi"/>
          <w:b/>
          <w:sz w:val="18"/>
          <w:szCs w:val="18"/>
          <w:u w:val="single"/>
        </w:rPr>
        <w:t>Phase 3</w:t>
      </w:r>
      <w:r w:rsidRPr="001A4982">
        <w:rPr>
          <w:rFonts w:cstheme="minorHAnsi"/>
          <w:sz w:val="18"/>
          <w:szCs w:val="18"/>
        </w:rPr>
        <w:t xml:space="preserve"> outlines the content creation process, which includes using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a reference guideline as the foundation for development, supported by a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multi-stakeholder review committee, and multiple rounds of pre-testing and</w:t>
      </w:r>
      <w:r w:rsidRPr="001A4982">
        <w:rPr>
          <w:rFonts w:cstheme="minorHAnsi"/>
          <w:sz w:val="18"/>
          <w:szCs w:val="18"/>
        </w:rPr>
        <w:t xml:space="preserve"> </w:t>
      </w:r>
      <w:r w:rsidRPr="001A4982">
        <w:rPr>
          <w:rFonts w:cstheme="minorHAnsi"/>
          <w:sz w:val="18"/>
          <w:szCs w:val="18"/>
        </w:rPr>
        <w:t>iteration with the end-user.</w:t>
      </w:r>
    </w:p>
    <w:p w:rsidR="00FE2319" w:rsidRDefault="00FE2319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FE2319" w:rsidRPr="001A4982" w:rsidRDefault="00FE2319" w:rsidP="00D024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sectPr w:rsidR="00FE2319" w:rsidRPr="001A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051D4"/>
    <w:multiLevelType w:val="hybridMultilevel"/>
    <w:tmpl w:val="0734B7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7C0D8B"/>
    <w:multiLevelType w:val="hybridMultilevel"/>
    <w:tmpl w:val="7DC4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24"/>
    <w:rsid w:val="000F5F82"/>
    <w:rsid w:val="001A4982"/>
    <w:rsid w:val="002257D1"/>
    <w:rsid w:val="002E6241"/>
    <w:rsid w:val="00301E4F"/>
    <w:rsid w:val="004A1CB6"/>
    <w:rsid w:val="00586E24"/>
    <w:rsid w:val="00632C43"/>
    <w:rsid w:val="00AE6E66"/>
    <w:rsid w:val="00D0241B"/>
    <w:rsid w:val="00D97DB8"/>
    <w:rsid w:val="00E6026A"/>
    <w:rsid w:val="00F7552F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97D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97DB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97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97D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97DB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9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2014-10-05T18:56:00Z</cp:lastPrinted>
  <dcterms:created xsi:type="dcterms:W3CDTF">2014-10-05T18:57:00Z</dcterms:created>
  <dcterms:modified xsi:type="dcterms:W3CDTF">2014-10-05T18:57:00Z</dcterms:modified>
</cp:coreProperties>
</file>