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EE9D35" w14:textId="77777777" w:rsidR="0061608B" w:rsidRDefault="00055712" w:rsidP="00055712">
      <w:pPr>
        <w:pStyle w:val="Heading1"/>
      </w:pPr>
      <w:r>
        <w:t>AMR-UCR Code Manual</w:t>
      </w:r>
    </w:p>
    <w:p w14:paraId="4D11C6E8" w14:textId="1A1E214D" w:rsidR="00055712" w:rsidRDefault="00055712" w:rsidP="00055712"/>
    <w:p w14:paraId="10F03B5A" w14:textId="36DF25C5" w:rsidR="00A7034E" w:rsidRPr="00A7034E" w:rsidRDefault="00A7034E" w:rsidP="00055712">
      <w:pPr>
        <w:rPr>
          <w:color w:val="FF0000"/>
        </w:rPr>
      </w:pPr>
      <w:r w:rsidRPr="00A7034E">
        <w:rPr>
          <w:color w:val="FF0000"/>
        </w:rPr>
        <w:t>UNDER CONSTRUCTION</w:t>
      </w:r>
    </w:p>
    <w:p w14:paraId="3E088527" w14:textId="77777777" w:rsidR="00BD3CEC" w:rsidRDefault="00BD3CEC" w:rsidP="00BD3CEC">
      <w:pPr>
        <w:pStyle w:val="Subtitle"/>
      </w:pPr>
      <w:r>
        <w:t>Use and citation</w:t>
      </w:r>
    </w:p>
    <w:p w14:paraId="67E8FEF5" w14:textId="7F91C812" w:rsidR="00BD3CEC" w:rsidRDefault="00BD3CEC" w:rsidP="00BD3CEC">
      <w:r>
        <w:t>For general usage and citation see the README file. This manual contains brief explanations of the documents and s</w:t>
      </w:r>
      <w:r w:rsidR="005A4502">
        <w:t>pecific notes on inputs/outputs, and information on input file code (in the absence of a separate data dictionary).</w:t>
      </w:r>
    </w:p>
    <w:p w14:paraId="07D183D8" w14:textId="0BBBAD98" w:rsidR="00493C19" w:rsidRPr="00BD3CEC" w:rsidRDefault="00493C19" w:rsidP="00BD3CEC"/>
    <w:p w14:paraId="7089FC61" w14:textId="77777777" w:rsidR="00FF3395" w:rsidRDefault="00055712" w:rsidP="00143E3F">
      <w:pPr>
        <w:pStyle w:val="Subtitle"/>
      </w:pPr>
      <w:r>
        <w:t>Data Extraction File (</w:t>
      </w:r>
      <w:proofErr w:type="spellStart"/>
      <w:r>
        <w:t>cost_per_case</w:t>
      </w:r>
      <w:proofErr w:type="spellEnd"/>
      <w:r>
        <w:t xml:space="preserve">/inputs/DET.xlsx) </w:t>
      </w:r>
    </w:p>
    <w:p w14:paraId="78A40D58" w14:textId="77777777" w:rsidR="00055712" w:rsidRDefault="00055712" w:rsidP="00FF3395">
      <w:pPr>
        <w:pStyle w:val="ListParagraph"/>
        <w:numPr>
          <w:ilvl w:val="0"/>
          <w:numId w:val="1"/>
        </w:numPr>
      </w:pPr>
      <w:r>
        <w:t xml:space="preserve">For Region; </w:t>
      </w:r>
    </w:p>
    <w:p w14:paraId="48A0EFC4" w14:textId="77777777" w:rsidR="00055712" w:rsidRDefault="00055712" w:rsidP="00FF3395">
      <w:pPr>
        <w:pStyle w:val="ListParagraph"/>
        <w:numPr>
          <w:ilvl w:val="1"/>
          <w:numId w:val="1"/>
        </w:numPr>
      </w:pPr>
      <w:r>
        <w:t>Europe</w:t>
      </w:r>
      <w:r w:rsidR="00FF3395">
        <w:t>;</w:t>
      </w:r>
      <w:r>
        <w:t xml:space="preserve"> may include EU and/or wider Europe (all grouped under Europe as a region) in this version of the repository</w:t>
      </w:r>
    </w:p>
    <w:p w14:paraId="611B0359" w14:textId="77777777" w:rsidR="00FF3395" w:rsidRDefault="00FF3395" w:rsidP="00FF3395">
      <w:pPr>
        <w:pStyle w:val="ListParagraph"/>
        <w:numPr>
          <w:ilvl w:val="0"/>
          <w:numId w:val="1"/>
        </w:numPr>
      </w:pPr>
      <w:r>
        <w:t>For microbe;</w:t>
      </w:r>
    </w:p>
    <w:p w14:paraId="645C62AB" w14:textId="5833A790" w:rsidR="00C61EEE" w:rsidRDefault="00FF3395" w:rsidP="00FF3395">
      <w:pPr>
        <w:pStyle w:val="ListParagraph"/>
        <w:numPr>
          <w:ilvl w:val="1"/>
          <w:numId w:val="1"/>
        </w:numPr>
      </w:pPr>
      <w:proofErr w:type="spellStart"/>
      <w:r>
        <w:t>Efa</w:t>
      </w:r>
      <w:proofErr w:type="spellEnd"/>
      <w:r>
        <w:t xml:space="preserve">; </w:t>
      </w:r>
      <w:r w:rsidR="00A45925">
        <w:t>in</w:t>
      </w:r>
      <w:r>
        <w:t xml:space="preserve">cluded Enterococcus not necessarily just </w:t>
      </w:r>
      <w:proofErr w:type="spellStart"/>
      <w:r>
        <w:t>Eneterococcus</w:t>
      </w:r>
      <w:proofErr w:type="spellEnd"/>
      <w:r>
        <w:t xml:space="preserve"> </w:t>
      </w:r>
      <w:proofErr w:type="spellStart"/>
      <w:r>
        <w:t>faecium</w:t>
      </w:r>
      <w:proofErr w:type="spellEnd"/>
    </w:p>
    <w:p w14:paraId="47422532" w14:textId="4383C607" w:rsidR="00FF3395" w:rsidRPr="00C61EEE" w:rsidRDefault="00C61EEE" w:rsidP="00FF3395">
      <w:pPr>
        <w:pStyle w:val="ListParagraph"/>
        <w:numPr>
          <w:ilvl w:val="1"/>
          <w:numId w:val="1"/>
        </w:numPr>
      </w:pPr>
      <w:r>
        <w:rPr>
          <w:rFonts w:ascii="McgjyyAdvTTb5929f4c" w:hAnsi="McgjyyAdvTTb5929f4c" w:cs="McgjyyAdvTTb5929f4c"/>
          <w:color w:val="131413"/>
        </w:rPr>
        <w:t>If a study grouped E. coli and Klebsiella together this was put down as</w:t>
      </w:r>
      <w:r w:rsidRPr="00C61EEE">
        <w:rPr>
          <w:rFonts w:ascii="McgjyyAdvTTb5929f4c" w:hAnsi="McgjyyAdvTTb5929f4c" w:cs="McgjyyAdvTTb5929f4c"/>
          <w:color w:val="131413"/>
        </w:rPr>
        <w:t xml:space="preserve"> </w:t>
      </w:r>
      <w:r w:rsidR="00A45925">
        <w:rPr>
          <w:rFonts w:ascii="McgjyyAdvTTb5929f4c" w:hAnsi="McgjyyAdvTTb5929f4c" w:cs="McgjyyAdvTTb5929f4c"/>
          <w:color w:val="131413"/>
        </w:rPr>
        <w:t>Enterobacteriaceae</w:t>
      </w:r>
      <w:r>
        <w:rPr>
          <w:rFonts w:ascii="McgjyyAdvTTb5929f4c" w:hAnsi="McgjyyAdvTTb5929f4c" w:cs="McgjyyAdvTTb5929f4c"/>
          <w:color w:val="131413"/>
        </w:rPr>
        <w:t xml:space="preserve"> </w:t>
      </w:r>
    </w:p>
    <w:p w14:paraId="4F99B84B" w14:textId="77777777" w:rsidR="004A7559" w:rsidRDefault="004A7559" w:rsidP="004A7559">
      <w:pPr>
        <w:pStyle w:val="ListParagraph"/>
        <w:numPr>
          <w:ilvl w:val="0"/>
          <w:numId w:val="1"/>
        </w:numPr>
      </w:pPr>
      <w:r>
        <w:t>For cost year;</w:t>
      </w:r>
    </w:p>
    <w:p w14:paraId="573FF9E0" w14:textId="77777777" w:rsidR="004A7559" w:rsidRDefault="004A7559" w:rsidP="004A7559">
      <w:pPr>
        <w:pStyle w:val="ListParagraph"/>
        <w:numPr>
          <w:ilvl w:val="1"/>
          <w:numId w:val="1"/>
        </w:numPr>
        <w:spacing w:after="0" w:line="240" w:lineRule="auto"/>
      </w:pPr>
      <w:r>
        <w:t xml:space="preserve">If a specific year wasn’t </w:t>
      </w:r>
      <w:proofErr w:type="gramStart"/>
      <w:r>
        <w:t>specified</w:t>
      </w:r>
      <w:proofErr w:type="gramEnd"/>
      <w:r>
        <w:t xml:space="preserve"> then took the latest study period year for costs</w:t>
      </w:r>
    </w:p>
    <w:p w14:paraId="4C61DE0A" w14:textId="77777777" w:rsidR="004A7559" w:rsidRDefault="00DC49F9" w:rsidP="00DC49F9">
      <w:pPr>
        <w:pStyle w:val="ListParagraph"/>
        <w:numPr>
          <w:ilvl w:val="0"/>
          <w:numId w:val="1"/>
        </w:numPr>
      </w:pPr>
      <w:r>
        <w:t>For syndrome;</w:t>
      </w:r>
    </w:p>
    <w:p w14:paraId="70F80C35" w14:textId="386BD28B" w:rsidR="005C5A31" w:rsidRPr="005C5A31" w:rsidRDefault="005C5A31" w:rsidP="0040639E">
      <w:pPr>
        <w:pStyle w:val="ListParagraph"/>
        <w:numPr>
          <w:ilvl w:val="1"/>
          <w:numId w:val="1"/>
        </w:numPr>
        <w:autoSpaceDE w:val="0"/>
        <w:autoSpaceDN w:val="0"/>
        <w:adjustRightInd w:val="0"/>
        <w:spacing w:after="0" w:line="240" w:lineRule="auto"/>
        <w:rPr>
          <w:rFonts w:ascii="McgjyyAdvTTb5929f4c" w:hAnsi="McgjyyAdvTTb5929f4c" w:cs="McgjyyAdvTTb5929f4c"/>
          <w:color w:val="131413"/>
        </w:rPr>
      </w:pPr>
      <w:r>
        <w:rPr>
          <w:rFonts w:ascii="McgjyyAdvTTb5929f4c" w:hAnsi="McgjyyAdvTTb5929f4c" w:cs="McgjyyAdvTTb5929f4c"/>
          <w:color w:val="131413"/>
        </w:rPr>
        <w:t>BSI; bloodstream infection</w:t>
      </w:r>
    </w:p>
    <w:p w14:paraId="61901367" w14:textId="64E12137" w:rsidR="0040639E" w:rsidRPr="005C5A31" w:rsidRDefault="0040639E" w:rsidP="0040639E">
      <w:pPr>
        <w:pStyle w:val="ListParagraph"/>
        <w:numPr>
          <w:ilvl w:val="1"/>
          <w:numId w:val="1"/>
        </w:numPr>
        <w:autoSpaceDE w:val="0"/>
        <w:autoSpaceDN w:val="0"/>
        <w:adjustRightInd w:val="0"/>
        <w:spacing w:after="0" w:line="240" w:lineRule="auto"/>
        <w:rPr>
          <w:rFonts w:ascii="McgjyyAdvTTb5929f4c" w:hAnsi="McgjyyAdvTTb5929f4c" w:cs="McgjyyAdvTTb5929f4c"/>
          <w:color w:val="131413"/>
        </w:rPr>
      </w:pPr>
      <w:r w:rsidRPr="0040639E">
        <w:t>B-J-SSTI</w:t>
      </w:r>
      <w:r>
        <w:t>; bone, joint and skin and</w:t>
      </w:r>
      <w:r w:rsidR="005C5A31">
        <w:t>/or</w:t>
      </w:r>
      <w:r>
        <w:t xml:space="preserve"> soft tissue infections</w:t>
      </w:r>
    </w:p>
    <w:p w14:paraId="094FEB27" w14:textId="77777777" w:rsidR="005C5A31" w:rsidRPr="0040639E" w:rsidRDefault="005C5A31" w:rsidP="005C5A31">
      <w:pPr>
        <w:pStyle w:val="ListParagraph"/>
        <w:numPr>
          <w:ilvl w:val="1"/>
          <w:numId w:val="1"/>
        </w:numPr>
        <w:autoSpaceDE w:val="0"/>
        <w:autoSpaceDN w:val="0"/>
        <w:adjustRightInd w:val="0"/>
        <w:spacing w:after="0" w:line="240" w:lineRule="auto"/>
        <w:rPr>
          <w:rFonts w:ascii="McgjyyAdvTTb5929f4c" w:hAnsi="McgjyyAdvTTb5929f4c" w:cs="McgjyyAdvTTb5929f4c"/>
          <w:color w:val="131413"/>
        </w:rPr>
      </w:pPr>
      <w:r>
        <w:t xml:space="preserve">COL; exposures classified as colonized </w:t>
      </w:r>
    </w:p>
    <w:p w14:paraId="6C4E0CDA" w14:textId="7F985C9D" w:rsidR="005C5A31" w:rsidRPr="005C5A31" w:rsidRDefault="005C5A31" w:rsidP="005C5A31">
      <w:pPr>
        <w:pStyle w:val="ListParagraph"/>
        <w:numPr>
          <w:ilvl w:val="1"/>
          <w:numId w:val="1"/>
        </w:numPr>
        <w:autoSpaceDE w:val="0"/>
        <w:autoSpaceDN w:val="0"/>
        <w:adjustRightInd w:val="0"/>
        <w:spacing w:after="0" w:line="240" w:lineRule="auto"/>
        <w:rPr>
          <w:rFonts w:ascii="McgjyyAdvTTb5929f4c" w:hAnsi="McgjyyAdvTTb5929f4c" w:cs="McgjyyAdvTTb5929f4c"/>
          <w:color w:val="131413"/>
        </w:rPr>
      </w:pPr>
      <w:r>
        <w:t>COL/INF; exposures included colonized and infected</w:t>
      </w:r>
    </w:p>
    <w:p w14:paraId="6F45343A" w14:textId="3217C892" w:rsidR="00CB2A86" w:rsidRPr="0040639E" w:rsidRDefault="00CB2A86" w:rsidP="0040639E">
      <w:pPr>
        <w:pStyle w:val="ListParagraph"/>
        <w:numPr>
          <w:ilvl w:val="1"/>
          <w:numId w:val="1"/>
        </w:numPr>
        <w:autoSpaceDE w:val="0"/>
        <w:autoSpaceDN w:val="0"/>
        <w:adjustRightInd w:val="0"/>
        <w:spacing w:after="0" w:line="240" w:lineRule="auto"/>
        <w:rPr>
          <w:rFonts w:ascii="McgjyyAdvTTb5929f4c" w:hAnsi="McgjyyAdvTTb5929f4c" w:cs="McgjyyAdvTTb5929f4c"/>
          <w:color w:val="131413"/>
        </w:rPr>
      </w:pPr>
      <w:r>
        <w:t xml:space="preserve">IAI; </w:t>
      </w:r>
      <w:r w:rsidR="005C5A31">
        <w:t>intra-abdominal infection</w:t>
      </w:r>
    </w:p>
    <w:p w14:paraId="1D703782" w14:textId="20716936" w:rsidR="0040639E" w:rsidRPr="005C5A31" w:rsidRDefault="0040639E" w:rsidP="00CB2A86">
      <w:pPr>
        <w:pStyle w:val="ListParagraph"/>
        <w:numPr>
          <w:ilvl w:val="1"/>
          <w:numId w:val="1"/>
        </w:numPr>
        <w:autoSpaceDE w:val="0"/>
        <w:autoSpaceDN w:val="0"/>
        <w:adjustRightInd w:val="0"/>
        <w:spacing w:after="0" w:line="240" w:lineRule="auto"/>
        <w:rPr>
          <w:rFonts w:ascii="McgjyyAdvTTb5929f4c" w:hAnsi="McgjyyAdvTTb5929f4c" w:cs="McgjyyAdvTTb5929f4c"/>
          <w:color w:val="131413"/>
        </w:rPr>
      </w:pPr>
      <w:r>
        <w:t>INF; exposures classified as infect</w:t>
      </w:r>
      <w:r w:rsidR="005C5A31">
        <w:t xml:space="preserve">ed </w:t>
      </w:r>
    </w:p>
    <w:p w14:paraId="39DDFE41" w14:textId="6052E981" w:rsidR="005C5A31" w:rsidRPr="005C5A31" w:rsidRDefault="005C5A31" w:rsidP="00CB2A86">
      <w:pPr>
        <w:pStyle w:val="ListParagraph"/>
        <w:numPr>
          <w:ilvl w:val="1"/>
          <w:numId w:val="1"/>
        </w:numPr>
        <w:autoSpaceDE w:val="0"/>
        <w:autoSpaceDN w:val="0"/>
        <w:adjustRightInd w:val="0"/>
        <w:spacing w:after="0" w:line="240" w:lineRule="auto"/>
        <w:rPr>
          <w:rFonts w:ascii="McgjyyAdvTTb5929f4c" w:hAnsi="McgjyyAdvTTb5929f4c" w:cs="McgjyyAdvTTb5929f4c"/>
          <w:color w:val="131413"/>
        </w:rPr>
      </w:pPr>
      <w:r>
        <w:t>RTI; respiratory infection</w:t>
      </w:r>
    </w:p>
    <w:p w14:paraId="33194FAA" w14:textId="7391F6CA" w:rsidR="005C5A31" w:rsidRPr="00BD39B4" w:rsidRDefault="005C5A31" w:rsidP="00CB2A86">
      <w:pPr>
        <w:pStyle w:val="ListParagraph"/>
        <w:numPr>
          <w:ilvl w:val="1"/>
          <w:numId w:val="1"/>
        </w:numPr>
        <w:autoSpaceDE w:val="0"/>
        <w:autoSpaceDN w:val="0"/>
        <w:adjustRightInd w:val="0"/>
        <w:spacing w:after="0" w:line="240" w:lineRule="auto"/>
        <w:rPr>
          <w:rFonts w:ascii="McgjyyAdvTTb5929f4c" w:hAnsi="McgjyyAdvTTb5929f4c" w:cs="McgjyyAdvTTb5929f4c"/>
          <w:color w:val="131413"/>
        </w:rPr>
      </w:pPr>
      <w:r>
        <w:t>UTI; urinary tract infection</w:t>
      </w:r>
    </w:p>
    <w:p w14:paraId="41B5A250" w14:textId="03CEDD20" w:rsidR="00BD39B4" w:rsidRPr="00CB2A86" w:rsidRDefault="00BD39B4" w:rsidP="00CB2A86">
      <w:pPr>
        <w:pStyle w:val="ListParagraph"/>
        <w:numPr>
          <w:ilvl w:val="1"/>
          <w:numId w:val="1"/>
        </w:numPr>
        <w:autoSpaceDE w:val="0"/>
        <w:autoSpaceDN w:val="0"/>
        <w:adjustRightInd w:val="0"/>
        <w:spacing w:after="0" w:line="240" w:lineRule="auto"/>
        <w:rPr>
          <w:rFonts w:ascii="McgjyyAdvTTb5929f4c" w:hAnsi="McgjyyAdvTTb5929f4c" w:cs="McgjyyAdvTTb5929f4c"/>
          <w:color w:val="131413"/>
        </w:rPr>
      </w:pPr>
      <w:r>
        <w:t>SSI; surgical site infections</w:t>
      </w:r>
    </w:p>
    <w:p w14:paraId="750E4306" w14:textId="77777777" w:rsidR="0059586F" w:rsidRDefault="0059586F" w:rsidP="0059586F">
      <w:pPr>
        <w:pStyle w:val="ListParagraph"/>
        <w:numPr>
          <w:ilvl w:val="0"/>
          <w:numId w:val="1"/>
        </w:numPr>
        <w:spacing w:after="0" w:line="240" w:lineRule="auto"/>
        <w:contextualSpacing w:val="0"/>
      </w:pPr>
      <w:r>
        <w:t>For LOS/cost extractions;</w:t>
      </w:r>
    </w:p>
    <w:p w14:paraId="3F2E445A" w14:textId="77777777" w:rsidR="0059586F" w:rsidRDefault="0059586F" w:rsidP="0059586F">
      <w:pPr>
        <w:pStyle w:val="ListParagraph"/>
        <w:numPr>
          <w:ilvl w:val="1"/>
          <w:numId w:val="1"/>
        </w:numPr>
        <w:spacing w:after="0" w:line="240" w:lineRule="auto"/>
        <w:contextualSpacing w:val="0"/>
      </w:pPr>
      <w:r>
        <w:t>Extracted post-infection hospital if available, if not total hospital (not just pre-infection LOS</w:t>
      </w:r>
      <w:r w:rsidR="00D01FE6">
        <w:t>), and if not hospital then ICU.</w:t>
      </w:r>
    </w:p>
    <w:p w14:paraId="6D00FE3E" w14:textId="77777777" w:rsidR="00C805C3" w:rsidRDefault="00C805C3" w:rsidP="00C805C3">
      <w:pPr>
        <w:pStyle w:val="ListParagraph"/>
        <w:numPr>
          <w:ilvl w:val="0"/>
          <w:numId w:val="1"/>
        </w:numPr>
        <w:spacing w:after="0" w:line="240" w:lineRule="auto"/>
        <w:contextualSpacing w:val="0"/>
      </w:pPr>
      <w:r>
        <w:t>For measure;</w:t>
      </w:r>
    </w:p>
    <w:p w14:paraId="5A2690A6" w14:textId="3150DB80" w:rsidR="00C805C3" w:rsidRDefault="00C805C3" w:rsidP="00C805C3">
      <w:pPr>
        <w:pStyle w:val="ListParagraph"/>
        <w:numPr>
          <w:ilvl w:val="1"/>
          <w:numId w:val="1"/>
        </w:numPr>
        <w:spacing w:after="0" w:line="240" w:lineRule="auto"/>
        <w:contextualSpacing w:val="0"/>
      </w:pPr>
      <w:r>
        <w:t>“excess” = “excess mean”, unless specified otherwise (e.g. “</w:t>
      </w:r>
      <w:proofErr w:type="spellStart"/>
      <w:r>
        <w:t>excess_median</w:t>
      </w:r>
      <w:proofErr w:type="spellEnd"/>
      <w:r>
        <w:t xml:space="preserve">” means excess </w:t>
      </w:r>
      <w:proofErr w:type="spellStart"/>
      <w:r>
        <w:t>meadian</w:t>
      </w:r>
      <w:proofErr w:type="spellEnd"/>
      <w:r>
        <w:t>)</w:t>
      </w:r>
    </w:p>
    <w:p w14:paraId="060198FE" w14:textId="6A4FCA17" w:rsidR="00A45925" w:rsidRDefault="00A45925" w:rsidP="00A45925">
      <w:pPr>
        <w:pStyle w:val="ListParagraph"/>
        <w:numPr>
          <w:ilvl w:val="0"/>
          <w:numId w:val="1"/>
        </w:numPr>
        <w:spacing w:after="0" w:line="240" w:lineRule="auto"/>
        <w:contextualSpacing w:val="0"/>
      </w:pPr>
      <w:r>
        <w:t>For the flags, which were used to do checks of data extractions: Note “FALSE” values meant no further checks required based on the flag.</w:t>
      </w:r>
    </w:p>
    <w:p w14:paraId="1C3D57EB" w14:textId="1F9055EA" w:rsidR="00A45925" w:rsidRDefault="00A45925" w:rsidP="00A45925">
      <w:pPr>
        <w:pStyle w:val="ListParagraph"/>
        <w:numPr>
          <w:ilvl w:val="1"/>
          <w:numId w:val="1"/>
        </w:numPr>
        <w:spacing w:after="0" w:line="240" w:lineRule="auto"/>
        <w:contextualSpacing w:val="0"/>
      </w:pPr>
      <w:r w:rsidRPr="00A45925">
        <w:t>FLAG_COMPLETE</w:t>
      </w:r>
      <w:r>
        <w:t xml:space="preserve"> </w:t>
      </w:r>
      <w:r>
        <w:sym w:font="Wingdings" w:char="F0E0"/>
      </w:r>
      <w:r>
        <w:t xml:space="preserve"> that the descriptor columns were filled</w:t>
      </w:r>
    </w:p>
    <w:p w14:paraId="6F0D8328" w14:textId="1AC7229D" w:rsidR="00A45925" w:rsidRDefault="00A45925" w:rsidP="00A45925">
      <w:pPr>
        <w:pStyle w:val="ListParagraph"/>
        <w:numPr>
          <w:ilvl w:val="1"/>
          <w:numId w:val="1"/>
        </w:numPr>
        <w:spacing w:after="0" w:line="240" w:lineRule="auto"/>
        <w:contextualSpacing w:val="0"/>
      </w:pPr>
      <w:r w:rsidRPr="00A45925">
        <w:t>FLAG_MONEY</w:t>
      </w:r>
      <w:r w:rsidRPr="00A45925">
        <w:tab/>
      </w:r>
      <w:r>
        <w:sym w:font="Wingdings" w:char="F0E0"/>
      </w:r>
      <w:r>
        <w:t xml:space="preserve"> to flag that if it was a LOS estimate row the currency columns weren’t filled in Or if it was a cost estimate that it was filled in, note this was done by hand </w:t>
      </w:r>
      <w:proofErr w:type="spellStart"/>
      <w:r>
        <w:t>subsetting</w:t>
      </w:r>
      <w:proofErr w:type="spellEnd"/>
      <w:r>
        <w:t xml:space="preserve"> </w:t>
      </w:r>
      <w:proofErr w:type="spellStart"/>
      <w:r>
        <w:t>los</w:t>
      </w:r>
      <w:proofErr w:type="spellEnd"/>
      <w:r>
        <w:t xml:space="preserve">=1 and </w:t>
      </w:r>
      <w:proofErr w:type="spellStart"/>
      <w:r>
        <w:t>los</w:t>
      </w:r>
      <w:proofErr w:type="spellEnd"/>
      <w:r>
        <w:t>=0 and applying different formulae to each</w:t>
      </w:r>
      <w:r w:rsidR="0064515A">
        <w:t xml:space="preserve"> (so you can’t drag and drop across the whole data set the formulae)</w:t>
      </w:r>
      <w:r>
        <w:t>.</w:t>
      </w:r>
    </w:p>
    <w:p w14:paraId="14882186" w14:textId="0169CE85" w:rsidR="00143E3F" w:rsidRDefault="00A45925" w:rsidP="005A4502">
      <w:pPr>
        <w:pStyle w:val="ListParagraph"/>
        <w:numPr>
          <w:ilvl w:val="1"/>
          <w:numId w:val="1"/>
        </w:numPr>
        <w:spacing w:after="0" w:line="240" w:lineRule="auto"/>
        <w:contextualSpacing w:val="0"/>
      </w:pPr>
      <w:r w:rsidRPr="00A45925">
        <w:t>FLAG_EXPOSED</w:t>
      </w:r>
      <w:r w:rsidR="00643619">
        <w:t>&lt;</w:t>
      </w:r>
      <w:r w:rsidRPr="00A45925">
        <w:t>NO</w:t>
      </w:r>
      <w:r>
        <w:t xml:space="preserve">N </w:t>
      </w:r>
      <w:r>
        <w:sym w:font="Wingdings" w:char="F0E0"/>
      </w:r>
      <w:r>
        <w:t xml:space="preserve"> to flag if </w:t>
      </w:r>
      <w:r w:rsidR="00643619">
        <w:t>non</w:t>
      </w:r>
      <w:r>
        <w:t xml:space="preserve">exposed values were greater than exposed, this didn’t mean it was wrong, but </w:t>
      </w:r>
      <w:r w:rsidR="005A4502">
        <w:t>may warrant another</w:t>
      </w:r>
      <w:r>
        <w:t xml:space="preserve"> check of the source</w:t>
      </w:r>
      <w:r w:rsidR="00643619">
        <w:t xml:space="preserve"> to make sure the correct values were assigned to the correct groups.</w:t>
      </w:r>
      <w:r>
        <w:t xml:space="preserve"> </w:t>
      </w:r>
    </w:p>
    <w:p w14:paraId="3777215A" w14:textId="2873DDFC" w:rsidR="000744B3" w:rsidRDefault="000744B3" w:rsidP="000744B3">
      <w:pPr>
        <w:pStyle w:val="ListParagraph"/>
        <w:numPr>
          <w:ilvl w:val="1"/>
          <w:numId w:val="1"/>
        </w:numPr>
        <w:spacing w:after="0" w:line="240" w:lineRule="auto"/>
        <w:contextualSpacing w:val="0"/>
      </w:pPr>
      <w:proofErr w:type="gramStart"/>
      <w:r>
        <w:lastRenderedPageBreak/>
        <w:t>Additionally</w:t>
      </w:r>
      <w:proofErr w:type="gramEnd"/>
      <w:r>
        <w:t xml:space="preserve"> unique_id</w:t>
      </w:r>
      <w:r w:rsidR="008311FF">
        <w:t>_4both</w:t>
      </w:r>
      <w:r>
        <w:t xml:space="preserve"> was </w:t>
      </w:r>
      <w:r w:rsidR="0064515A">
        <w:t xml:space="preserve">added in by hand throughout the extraction process, and subsequently </w:t>
      </w:r>
      <w:r>
        <w:t xml:space="preserve">checked by hand, due to removals of rows in the data checking and cleaning process there may be gaps in numbers. For </w:t>
      </w:r>
      <w:proofErr w:type="gramStart"/>
      <w:r>
        <w:t>example</w:t>
      </w:r>
      <w:proofErr w:type="gramEnd"/>
      <w:r>
        <w:t>…</w:t>
      </w:r>
    </w:p>
    <w:tbl>
      <w:tblPr>
        <w:tblW w:w="4292" w:type="dxa"/>
        <w:tblLook w:val="04A0" w:firstRow="1" w:lastRow="0" w:firstColumn="1" w:lastColumn="0" w:noHBand="0" w:noVBand="1"/>
      </w:tblPr>
      <w:tblGrid>
        <w:gridCol w:w="1039"/>
        <w:gridCol w:w="1000"/>
        <w:gridCol w:w="1287"/>
        <w:gridCol w:w="214"/>
        <w:gridCol w:w="786"/>
        <w:gridCol w:w="328"/>
      </w:tblGrid>
      <w:tr w:rsidR="000744B3" w14:paraId="5A58C89D" w14:textId="77777777" w:rsidTr="000744B3">
        <w:trPr>
          <w:trHeight w:val="288"/>
        </w:trPr>
        <w:tc>
          <w:tcPr>
            <w:tcW w:w="1000" w:type="dxa"/>
            <w:tcBorders>
              <w:top w:val="nil"/>
              <w:left w:val="nil"/>
              <w:bottom w:val="nil"/>
              <w:right w:val="nil"/>
            </w:tcBorders>
            <w:shd w:val="clear" w:color="auto" w:fill="auto"/>
            <w:noWrap/>
            <w:vAlign w:val="bottom"/>
            <w:hideMark/>
          </w:tcPr>
          <w:p w14:paraId="0D5CFF04" w14:textId="77777777" w:rsidR="000744B3" w:rsidRDefault="000744B3">
            <w:pPr>
              <w:rPr>
                <w:rFonts w:ascii="Calibri" w:hAnsi="Calibri" w:cs="Calibri"/>
                <w:color w:val="000000"/>
              </w:rPr>
            </w:pPr>
            <w:r>
              <w:rPr>
                <w:rFonts w:ascii="Calibri" w:hAnsi="Calibri" w:cs="Calibri"/>
                <w:color w:val="000000"/>
              </w:rPr>
              <w:t>first author(s)</w:t>
            </w:r>
          </w:p>
        </w:tc>
        <w:tc>
          <w:tcPr>
            <w:tcW w:w="1000" w:type="dxa"/>
            <w:tcBorders>
              <w:top w:val="nil"/>
              <w:left w:val="nil"/>
              <w:bottom w:val="nil"/>
              <w:right w:val="nil"/>
            </w:tcBorders>
            <w:shd w:val="clear" w:color="auto" w:fill="auto"/>
            <w:noWrap/>
            <w:vAlign w:val="bottom"/>
            <w:hideMark/>
          </w:tcPr>
          <w:p w14:paraId="43AFEEF4" w14:textId="77777777" w:rsidR="000744B3" w:rsidRDefault="000744B3">
            <w:pPr>
              <w:rPr>
                <w:rFonts w:ascii="Calibri" w:hAnsi="Calibri" w:cs="Calibri"/>
                <w:color w:val="000000"/>
              </w:rPr>
            </w:pPr>
            <w:r>
              <w:rPr>
                <w:rFonts w:ascii="Calibri" w:hAnsi="Calibri" w:cs="Calibri"/>
                <w:color w:val="000000"/>
              </w:rPr>
              <w:t>study year</w:t>
            </w:r>
          </w:p>
        </w:tc>
        <w:tc>
          <w:tcPr>
            <w:tcW w:w="1292" w:type="dxa"/>
            <w:gridSpan w:val="2"/>
            <w:tcBorders>
              <w:top w:val="nil"/>
              <w:left w:val="nil"/>
              <w:bottom w:val="nil"/>
              <w:right w:val="nil"/>
            </w:tcBorders>
            <w:shd w:val="clear" w:color="auto" w:fill="auto"/>
            <w:noWrap/>
            <w:vAlign w:val="bottom"/>
            <w:hideMark/>
          </w:tcPr>
          <w:p w14:paraId="4F6EF0D0" w14:textId="77777777" w:rsidR="000744B3" w:rsidRDefault="000744B3">
            <w:pPr>
              <w:rPr>
                <w:rFonts w:ascii="Calibri" w:hAnsi="Calibri" w:cs="Calibri"/>
                <w:color w:val="000000"/>
              </w:rPr>
            </w:pPr>
            <w:proofErr w:type="spellStart"/>
            <w:r>
              <w:rPr>
                <w:rFonts w:ascii="Calibri" w:hAnsi="Calibri" w:cs="Calibri"/>
                <w:color w:val="000000"/>
              </w:rPr>
              <w:t>both_los_cost</w:t>
            </w:r>
            <w:proofErr w:type="spellEnd"/>
          </w:p>
        </w:tc>
        <w:tc>
          <w:tcPr>
            <w:tcW w:w="1000" w:type="dxa"/>
            <w:gridSpan w:val="2"/>
            <w:tcBorders>
              <w:top w:val="nil"/>
              <w:left w:val="nil"/>
              <w:bottom w:val="nil"/>
              <w:right w:val="nil"/>
            </w:tcBorders>
            <w:shd w:val="clear" w:color="auto" w:fill="auto"/>
            <w:noWrap/>
            <w:vAlign w:val="bottom"/>
            <w:hideMark/>
          </w:tcPr>
          <w:p w14:paraId="6E194429" w14:textId="77777777" w:rsidR="000744B3" w:rsidRDefault="000744B3">
            <w:pPr>
              <w:rPr>
                <w:rFonts w:ascii="Calibri" w:hAnsi="Calibri" w:cs="Calibri"/>
                <w:color w:val="000000"/>
              </w:rPr>
            </w:pPr>
            <w:proofErr w:type="spellStart"/>
            <w:r>
              <w:rPr>
                <w:rFonts w:ascii="Calibri" w:hAnsi="Calibri" w:cs="Calibri"/>
                <w:color w:val="000000"/>
              </w:rPr>
              <w:t>unique_id</w:t>
            </w:r>
            <w:proofErr w:type="spellEnd"/>
          </w:p>
        </w:tc>
      </w:tr>
      <w:tr w:rsidR="000744B3" w:rsidRPr="000744B3" w14:paraId="00466CFB" w14:textId="77777777" w:rsidTr="000744B3">
        <w:trPr>
          <w:gridAfter w:val="1"/>
          <w:wAfter w:w="292" w:type="dxa"/>
          <w:trHeight w:val="288"/>
        </w:trPr>
        <w:tc>
          <w:tcPr>
            <w:tcW w:w="1000" w:type="dxa"/>
            <w:tcBorders>
              <w:top w:val="nil"/>
              <w:left w:val="nil"/>
              <w:bottom w:val="nil"/>
              <w:right w:val="nil"/>
            </w:tcBorders>
            <w:shd w:val="clear" w:color="auto" w:fill="auto"/>
            <w:noWrap/>
            <w:vAlign w:val="bottom"/>
          </w:tcPr>
          <w:p w14:paraId="0A731E69" w14:textId="77777777" w:rsidR="000744B3" w:rsidRPr="000744B3" w:rsidRDefault="000744B3" w:rsidP="000744B3">
            <w:pPr>
              <w:spacing w:after="0" w:line="240" w:lineRule="auto"/>
              <w:rPr>
                <w:rFonts w:ascii="Calibri" w:eastAsia="Times New Roman" w:hAnsi="Calibri" w:cs="Calibri"/>
                <w:color w:val="000000"/>
                <w:lang w:eastAsia="en-GB"/>
              </w:rPr>
            </w:pPr>
          </w:p>
        </w:tc>
        <w:tc>
          <w:tcPr>
            <w:tcW w:w="1000" w:type="dxa"/>
            <w:tcBorders>
              <w:top w:val="nil"/>
              <w:left w:val="nil"/>
              <w:bottom w:val="nil"/>
              <w:right w:val="nil"/>
            </w:tcBorders>
            <w:shd w:val="clear" w:color="auto" w:fill="auto"/>
            <w:noWrap/>
            <w:vAlign w:val="bottom"/>
          </w:tcPr>
          <w:p w14:paraId="7D62607B" w14:textId="77777777" w:rsidR="000744B3" w:rsidRPr="000744B3" w:rsidRDefault="000744B3" w:rsidP="000744B3">
            <w:pPr>
              <w:spacing w:after="0" w:line="240" w:lineRule="auto"/>
              <w:jc w:val="right"/>
              <w:rPr>
                <w:rFonts w:ascii="Calibri" w:eastAsia="Times New Roman" w:hAnsi="Calibri" w:cs="Calibri"/>
                <w:color w:val="000000"/>
                <w:lang w:eastAsia="en-GB"/>
              </w:rPr>
            </w:pPr>
          </w:p>
        </w:tc>
        <w:tc>
          <w:tcPr>
            <w:tcW w:w="1000" w:type="dxa"/>
            <w:tcBorders>
              <w:top w:val="nil"/>
              <w:left w:val="nil"/>
              <w:bottom w:val="nil"/>
              <w:right w:val="nil"/>
            </w:tcBorders>
            <w:shd w:val="clear" w:color="auto" w:fill="auto"/>
            <w:noWrap/>
            <w:vAlign w:val="bottom"/>
          </w:tcPr>
          <w:p w14:paraId="421C53AE" w14:textId="77777777" w:rsidR="000744B3" w:rsidRPr="000744B3" w:rsidRDefault="000744B3" w:rsidP="000744B3">
            <w:pPr>
              <w:spacing w:after="0" w:line="240" w:lineRule="auto"/>
              <w:jc w:val="right"/>
              <w:rPr>
                <w:rFonts w:ascii="Calibri" w:eastAsia="Times New Roman" w:hAnsi="Calibri" w:cs="Calibri"/>
                <w:color w:val="000000"/>
                <w:lang w:eastAsia="en-GB"/>
              </w:rPr>
            </w:pPr>
          </w:p>
        </w:tc>
        <w:tc>
          <w:tcPr>
            <w:tcW w:w="1000" w:type="dxa"/>
            <w:gridSpan w:val="2"/>
            <w:tcBorders>
              <w:top w:val="nil"/>
              <w:left w:val="nil"/>
              <w:bottom w:val="nil"/>
              <w:right w:val="nil"/>
            </w:tcBorders>
            <w:shd w:val="clear" w:color="auto" w:fill="auto"/>
            <w:noWrap/>
            <w:vAlign w:val="bottom"/>
          </w:tcPr>
          <w:p w14:paraId="53C323EF" w14:textId="77777777" w:rsidR="000744B3" w:rsidRPr="000744B3" w:rsidRDefault="000744B3" w:rsidP="000744B3">
            <w:pPr>
              <w:spacing w:after="0" w:line="240" w:lineRule="auto"/>
              <w:jc w:val="right"/>
              <w:rPr>
                <w:rFonts w:ascii="Calibri" w:eastAsia="Times New Roman" w:hAnsi="Calibri" w:cs="Calibri"/>
                <w:color w:val="000000"/>
                <w:lang w:eastAsia="en-GB"/>
              </w:rPr>
            </w:pPr>
          </w:p>
        </w:tc>
      </w:tr>
      <w:tr w:rsidR="000744B3" w:rsidRPr="000744B3" w14:paraId="156B6ABF" w14:textId="77777777" w:rsidTr="000744B3">
        <w:trPr>
          <w:gridAfter w:val="1"/>
          <w:wAfter w:w="292" w:type="dxa"/>
          <w:trHeight w:val="288"/>
        </w:trPr>
        <w:tc>
          <w:tcPr>
            <w:tcW w:w="1000" w:type="dxa"/>
            <w:tcBorders>
              <w:top w:val="nil"/>
              <w:left w:val="nil"/>
              <w:bottom w:val="nil"/>
              <w:right w:val="nil"/>
            </w:tcBorders>
            <w:shd w:val="clear" w:color="auto" w:fill="auto"/>
            <w:noWrap/>
            <w:vAlign w:val="bottom"/>
            <w:hideMark/>
          </w:tcPr>
          <w:p w14:paraId="7047399B" w14:textId="77777777" w:rsidR="000744B3" w:rsidRPr="000744B3" w:rsidRDefault="000744B3" w:rsidP="000744B3">
            <w:pPr>
              <w:spacing w:after="0" w:line="240" w:lineRule="auto"/>
              <w:rPr>
                <w:rFonts w:ascii="Calibri" w:eastAsia="Times New Roman" w:hAnsi="Calibri" w:cs="Calibri"/>
                <w:color w:val="000000"/>
                <w:lang w:eastAsia="en-GB"/>
              </w:rPr>
            </w:pPr>
            <w:r w:rsidRPr="000744B3">
              <w:rPr>
                <w:rFonts w:ascii="Calibri" w:eastAsia="Times New Roman" w:hAnsi="Calibri" w:cs="Calibri"/>
                <w:color w:val="000000"/>
                <w:lang w:eastAsia="en-GB"/>
              </w:rPr>
              <w:t>Kim</w:t>
            </w:r>
          </w:p>
        </w:tc>
        <w:tc>
          <w:tcPr>
            <w:tcW w:w="1000" w:type="dxa"/>
            <w:tcBorders>
              <w:top w:val="nil"/>
              <w:left w:val="nil"/>
              <w:bottom w:val="nil"/>
              <w:right w:val="nil"/>
            </w:tcBorders>
            <w:shd w:val="clear" w:color="auto" w:fill="auto"/>
            <w:noWrap/>
            <w:vAlign w:val="bottom"/>
            <w:hideMark/>
          </w:tcPr>
          <w:p w14:paraId="7779ED2F" w14:textId="77777777" w:rsidR="000744B3" w:rsidRPr="000744B3" w:rsidRDefault="000744B3" w:rsidP="000744B3">
            <w:pPr>
              <w:spacing w:after="0" w:line="240" w:lineRule="auto"/>
              <w:jc w:val="right"/>
              <w:rPr>
                <w:rFonts w:ascii="Calibri" w:eastAsia="Times New Roman" w:hAnsi="Calibri" w:cs="Calibri"/>
                <w:color w:val="000000"/>
                <w:lang w:eastAsia="en-GB"/>
              </w:rPr>
            </w:pPr>
            <w:r w:rsidRPr="000744B3">
              <w:rPr>
                <w:rFonts w:ascii="Calibri" w:eastAsia="Times New Roman" w:hAnsi="Calibri" w:cs="Calibri"/>
                <w:color w:val="000000"/>
                <w:lang w:eastAsia="en-GB"/>
              </w:rPr>
              <w:t>2014</w:t>
            </w:r>
          </w:p>
        </w:tc>
        <w:tc>
          <w:tcPr>
            <w:tcW w:w="1000" w:type="dxa"/>
            <w:tcBorders>
              <w:top w:val="nil"/>
              <w:left w:val="nil"/>
              <w:bottom w:val="nil"/>
              <w:right w:val="nil"/>
            </w:tcBorders>
            <w:shd w:val="clear" w:color="auto" w:fill="auto"/>
            <w:noWrap/>
            <w:vAlign w:val="bottom"/>
            <w:hideMark/>
          </w:tcPr>
          <w:p w14:paraId="1B8D2A46" w14:textId="77777777" w:rsidR="000744B3" w:rsidRPr="000744B3" w:rsidRDefault="000744B3" w:rsidP="000744B3">
            <w:pPr>
              <w:spacing w:after="0" w:line="240" w:lineRule="auto"/>
              <w:jc w:val="right"/>
              <w:rPr>
                <w:rFonts w:ascii="Calibri" w:eastAsia="Times New Roman" w:hAnsi="Calibri" w:cs="Calibri"/>
                <w:color w:val="000000"/>
                <w:lang w:eastAsia="en-GB"/>
              </w:rPr>
            </w:pPr>
            <w:r w:rsidRPr="000744B3">
              <w:rPr>
                <w:rFonts w:ascii="Calibri" w:eastAsia="Times New Roman" w:hAnsi="Calibri" w:cs="Calibri"/>
                <w:color w:val="000000"/>
                <w:lang w:eastAsia="en-GB"/>
              </w:rPr>
              <w:t>1</w:t>
            </w:r>
          </w:p>
        </w:tc>
        <w:tc>
          <w:tcPr>
            <w:tcW w:w="1000" w:type="dxa"/>
            <w:gridSpan w:val="2"/>
            <w:tcBorders>
              <w:top w:val="nil"/>
              <w:left w:val="nil"/>
              <w:bottom w:val="nil"/>
              <w:right w:val="nil"/>
            </w:tcBorders>
            <w:shd w:val="clear" w:color="auto" w:fill="auto"/>
            <w:noWrap/>
            <w:vAlign w:val="bottom"/>
            <w:hideMark/>
          </w:tcPr>
          <w:p w14:paraId="119B7F32" w14:textId="77777777" w:rsidR="000744B3" w:rsidRPr="000744B3" w:rsidRDefault="000744B3" w:rsidP="000744B3">
            <w:pPr>
              <w:spacing w:after="0" w:line="240" w:lineRule="auto"/>
              <w:jc w:val="right"/>
              <w:rPr>
                <w:rFonts w:ascii="Calibri" w:eastAsia="Times New Roman" w:hAnsi="Calibri" w:cs="Calibri"/>
                <w:color w:val="000000"/>
                <w:lang w:eastAsia="en-GB"/>
              </w:rPr>
            </w:pPr>
            <w:r w:rsidRPr="000744B3">
              <w:rPr>
                <w:rFonts w:ascii="Calibri" w:eastAsia="Times New Roman" w:hAnsi="Calibri" w:cs="Calibri"/>
                <w:color w:val="000000"/>
                <w:lang w:eastAsia="en-GB"/>
              </w:rPr>
              <w:t>4</w:t>
            </w:r>
          </w:p>
        </w:tc>
      </w:tr>
      <w:tr w:rsidR="000744B3" w:rsidRPr="000744B3" w14:paraId="1D30DA3C" w14:textId="77777777" w:rsidTr="000744B3">
        <w:trPr>
          <w:gridAfter w:val="1"/>
          <w:wAfter w:w="292" w:type="dxa"/>
          <w:trHeight w:val="288"/>
        </w:trPr>
        <w:tc>
          <w:tcPr>
            <w:tcW w:w="1000" w:type="dxa"/>
            <w:tcBorders>
              <w:top w:val="nil"/>
              <w:left w:val="nil"/>
              <w:bottom w:val="nil"/>
              <w:right w:val="nil"/>
            </w:tcBorders>
            <w:shd w:val="clear" w:color="auto" w:fill="auto"/>
            <w:noWrap/>
            <w:vAlign w:val="bottom"/>
            <w:hideMark/>
          </w:tcPr>
          <w:p w14:paraId="54EAE319" w14:textId="77777777" w:rsidR="000744B3" w:rsidRPr="000744B3" w:rsidRDefault="000744B3" w:rsidP="000744B3">
            <w:pPr>
              <w:spacing w:after="0" w:line="240" w:lineRule="auto"/>
              <w:rPr>
                <w:rFonts w:ascii="Calibri" w:eastAsia="Times New Roman" w:hAnsi="Calibri" w:cs="Calibri"/>
                <w:color w:val="000000"/>
                <w:lang w:eastAsia="en-GB"/>
              </w:rPr>
            </w:pPr>
            <w:r w:rsidRPr="000744B3">
              <w:rPr>
                <w:rFonts w:ascii="Calibri" w:eastAsia="Times New Roman" w:hAnsi="Calibri" w:cs="Calibri"/>
                <w:color w:val="000000"/>
                <w:lang w:eastAsia="en-GB"/>
              </w:rPr>
              <w:t>Kim</w:t>
            </w:r>
          </w:p>
        </w:tc>
        <w:tc>
          <w:tcPr>
            <w:tcW w:w="1000" w:type="dxa"/>
            <w:tcBorders>
              <w:top w:val="nil"/>
              <w:left w:val="nil"/>
              <w:bottom w:val="nil"/>
              <w:right w:val="nil"/>
            </w:tcBorders>
            <w:shd w:val="clear" w:color="auto" w:fill="auto"/>
            <w:noWrap/>
            <w:vAlign w:val="bottom"/>
            <w:hideMark/>
          </w:tcPr>
          <w:p w14:paraId="52171B62" w14:textId="77777777" w:rsidR="000744B3" w:rsidRPr="000744B3" w:rsidRDefault="000744B3" w:rsidP="000744B3">
            <w:pPr>
              <w:spacing w:after="0" w:line="240" w:lineRule="auto"/>
              <w:jc w:val="right"/>
              <w:rPr>
                <w:rFonts w:ascii="Calibri" w:eastAsia="Times New Roman" w:hAnsi="Calibri" w:cs="Calibri"/>
                <w:color w:val="000000"/>
                <w:lang w:eastAsia="en-GB"/>
              </w:rPr>
            </w:pPr>
            <w:r w:rsidRPr="000744B3">
              <w:rPr>
                <w:rFonts w:ascii="Calibri" w:eastAsia="Times New Roman" w:hAnsi="Calibri" w:cs="Calibri"/>
                <w:color w:val="000000"/>
                <w:lang w:eastAsia="en-GB"/>
              </w:rPr>
              <w:t>2014</w:t>
            </w:r>
          </w:p>
        </w:tc>
        <w:tc>
          <w:tcPr>
            <w:tcW w:w="1000" w:type="dxa"/>
            <w:tcBorders>
              <w:top w:val="nil"/>
              <w:left w:val="nil"/>
              <w:bottom w:val="nil"/>
              <w:right w:val="nil"/>
            </w:tcBorders>
            <w:shd w:val="clear" w:color="auto" w:fill="auto"/>
            <w:noWrap/>
            <w:vAlign w:val="bottom"/>
            <w:hideMark/>
          </w:tcPr>
          <w:p w14:paraId="5B826E9E" w14:textId="77777777" w:rsidR="000744B3" w:rsidRPr="000744B3" w:rsidRDefault="000744B3" w:rsidP="000744B3">
            <w:pPr>
              <w:spacing w:after="0" w:line="240" w:lineRule="auto"/>
              <w:jc w:val="right"/>
              <w:rPr>
                <w:rFonts w:ascii="Calibri" w:eastAsia="Times New Roman" w:hAnsi="Calibri" w:cs="Calibri"/>
                <w:color w:val="000000"/>
                <w:lang w:eastAsia="en-GB"/>
              </w:rPr>
            </w:pPr>
            <w:r w:rsidRPr="000744B3">
              <w:rPr>
                <w:rFonts w:ascii="Calibri" w:eastAsia="Times New Roman" w:hAnsi="Calibri" w:cs="Calibri"/>
                <w:color w:val="000000"/>
                <w:lang w:eastAsia="en-GB"/>
              </w:rPr>
              <w:t>1</w:t>
            </w:r>
          </w:p>
        </w:tc>
        <w:tc>
          <w:tcPr>
            <w:tcW w:w="1000" w:type="dxa"/>
            <w:gridSpan w:val="2"/>
            <w:tcBorders>
              <w:top w:val="nil"/>
              <w:left w:val="nil"/>
              <w:bottom w:val="nil"/>
              <w:right w:val="nil"/>
            </w:tcBorders>
            <w:shd w:val="clear" w:color="auto" w:fill="auto"/>
            <w:noWrap/>
            <w:vAlign w:val="bottom"/>
            <w:hideMark/>
          </w:tcPr>
          <w:p w14:paraId="35DA9271" w14:textId="77777777" w:rsidR="000744B3" w:rsidRPr="000744B3" w:rsidRDefault="000744B3" w:rsidP="000744B3">
            <w:pPr>
              <w:spacing w:after="0" w:line="240" w:lineRule="auto"/>
              <w:jc w:val="right"/>
              <w:rPr>
                <w:rFonts w:ascii="Calibri" w:eastAsia="Times New Roman" w:hAnsi="Calibri" w:cs="Calibri"/>
                <w:color w:val="000000"/>
                <w:lang w:eastAsia="en-GB"/>
              </w:rPr>
            </w:pPr>
            <w:r w:rsidRPr="000744B3">
              <w:rPr>
                <w:rFonts w:ascii="Calibri" w:eastAsia="Times New Roman" w:hAnsi="Calibri" w:cs="Calibri"/>
                <w:color w:val="000000"/>
                <w:lang w:eastAsia="en-GB"/>
              </w:rPr>
              <w:t>4</w:t>
            </w:r>
          </w:p>
        </w:tc>
      </w:tr>
      <w:tr w:rsidR="000744B3" w:rsidRPr="000744B3" w14:paraId="1ED2A8CF" w14:textId="77777777" w:rsidTr="000744B3">
        <w:trPr>
          <w:gridAfter w:val="1"/>
          <w:wAfter w:w="292" w:type="dxa"/>
          <w:trHeight w:val="288"/>
        </w:trPr>
        <w:tc>
          <w:tcPr>
            <w:tcW w:w="1000" w:type="dxa"/>
            <w:tcBorders>
              <w:top w:val="nil"/>
              <w:left w:val="nil"/>
              <w:bottom w:val="nil"/>
              <w:right w:val="nil"/>
            </w:tcBorders>
            <w:shd w:val="clear" w:color="auto" w:fill="auto"/>
            <w:noWrap/>
            <w:vAlign w:val="bottom"/>
            <w:hideMark/>
          </w:tcPr>
          <w:p w14:paraId="7630F9D3" w14:textId="77777777" w:rsidR="000744B3" w:rsidRPr="000744B3" w:rsidRDefault="000744B3" w:rsidP="000744B3">
            <w:pPr>
              <w:spacing w:after="0" w:line="240" w:lineRule="auto"/>
              <w:rPr>
                <w:rFonts w:ascii="Calibri" w:eastAsia="Times New Roman" w:hAnsi="Calibri" w:cs="Calibri"/>
                <w:color w:val="000000"/>
                <w:lang w:eastAsia="en-GB"/>
              </w:rPr>
            </w:pPr>
            <w:r w:rsidRPr="000744B3">
              <w:rPr>
                <w:rFonts w:ascii="Calibri" w:eastAsia="Times New Roman" w:hAnsi="Calibri" w:cs="Calibri"/>
                <w:color w:val="000000"/>
                <w:lang w:eastAsia="en-GB"/>
              </w:rPr>
              <w:t>Klein</w:t>
            </w:r>
          </w:p>
        </w:tc>
        <w:tc>
          <w:tcPr>
            <w:tcW w:w="1000" w:type="dxa"/>
            <w:tcBorders>
              <w:top w:val="nil"/>
              <w:left w:val="nil"/>
              <w:bottom w:val="nil"/>
              <w:right w:val="nil"/>
            </w:tcBorders>
            <w:shd w:val="clear" w:color="auto" w:fill="auto"/>
            <w:noWrap/>
            <w:vAlign w:val="bottom"/>
            <w:hideMark/>
          </w:tcPr>
          <w:p w14:paraId="4FECFF2C" w14:textId="77777777" w:rsidR="000744B3" w:rsidRPr="000744B3" w:rsidRDefault="000744B3" w:rsidP="000744B3">
            <w:pPr>
              <w:spacing w:after="0" w:line="240" w:lineRule="auto"/>
              <w:jc w:val="right"/>
              <w:rPr>
                <w:rFonts w:ascii="Calibri" w:eastAsia="Times New Roman" w:hAnsi="Calibri" w:cs="Calibri"/>
                <w:color w:val="000000"/>
                <w:lang w:eastAsia="en-GB"/>
              </w:rPr>
            </w:pPr>
            <w:r w:rsidRPr="000744B3">
              <w:rPr>
                <w:rFonts w:ascii="Calibri" w:eastAsia="Times New Roman" w:hAnsi="Calibri" w:cs="Calibri"/>
                <w:color w:val="000000"/>
                <w:lang w:eastAsia="en-GB"/>
              </w:rPr>
              <w:t>2019</w:t>
            </w:r>
          </w:p>
        </w:tc>
        <w:tc>
          <w:tcPr>
            <w:tcW w:w="1000" w:type="dxa"/>
            <w:tcBorders>
              <w:top w:val="nil"/>
              <w:left w:val="nil"/>
              <w:bottom w:val="nil"/>
              <w:right w:val="nil"/>
            </w:tcBorders>
            <w:shd w:val="clear" w:color="auto" w:fill="auto"/>
            <w:noWrap/>
            <w:vAlign w:val="bottom"/>
            <w:hideMark/>
          </w:tcPr>
          <w:p w14:paraId="52062E00" w14:textId="77777777" w:rsidR="000744B3" w:rsidRPr="000744B3" w:rsidRDefault="000744B3" w:rsidP="000744B3">
            <w:pPr>
              <w:spacing w:after="0" w:line="240" w:lineRule="auto"/>
              <w:jc w:val="right"/>
              <w:rPr>
                <w:rFonts w:ascii="Calibri" w:eastAsia="Times New Roman" w:hAnsi="Calibri" w:cs="Calibri"/>
                <w:color w:val="000000"/>
                <w:lang w:eastAsia="en-GB"/>
              </w:rPr>
            </w:pPr>
            <w:r w:rsidRPr="000744B3">
              <w:rPr>
                <w:rFonts w:ascii="Calibri" w:eastAsia="Times New Roman" w:hAnsi="Calibri" w:cs="Calibri"/>
                <w:color w:val="000000"/>
                <w:lang w:eastAsia="en-GB"/>
              </w:rPr>
              <w:t>1</w:t>
            </w:r>
          </w:p>
        </w:tc>
        <w:tc>
          <w:tcPr>
            <w:tcW w:w="1000" w:type="dxa"/>
            <w:gridSpan w:val="2"/>
            <w:tcBorders>
              <w:top w:val="nil"/>
              <w:left w:val="nil"/>
              <w:bottom w:val="nil"/>
              <w:right w:val="nil"/>
            </w:tcBorders>
            <w:shd w:val="clear" w:color="auto" w:fill="auto"/>
            <w:noWrap/>
            <w:vAlign w:val="bottom"/>
            <w:hideMark/>
          </w:tcPr>
          <w:p w14:paraId="521F88DF" w14:textId="77777777" w:rsidR="000744B3" w:rsidRPr="000744B3" w:rsidRDefault="000744B3" w:rsidP="000744B3">
            <w:pPr>
              <w:spacing w:after="0" w:line="240" w:lineRule="auto"/>
              <w:jc w:val="right"/>
              <w:rPr>
                <w:rFonts w:ascii="Calibri" w:eastAsia="Times New Roman" w:hAnsi="Calibri" w:cs="Calibri"/>
                <w:color w:val="000000"/>
                <w:lang w:eastAsia="en-GB"/>
              </w:rPr>
            </w:pPr>
            <w:r w:rsidRPr="000744B3">
              <w:rPr>
                <w:rFonts w:ascii="Calibri" w:eastAsia="Times New Roman" w:hAnsi="Calibri" w:cs="Calibri"/>
                <w:color w:val="000000"/>
                <w:lang w:eastAsia="en-GB"/>
              </w:rPr>
              <w:t>11</w:t>
            </w:r>
          </w:p>
        </w:tc>
      </w:tr>
      <w:tr w:rsidR="000744B3" w:rsidRPr="000744B3" w14:paraId="2DEFF5E1" w14:textId="77777777" w:rsidTr="000744B3">
        <w:trPr>
          <w:gridAfter w:val="1"/>
          <w:wAfter w:w="292" w:type="dxa"/>
          <w:trHeight w:val="288"/>
        </w:trPr>
        <w:tc>
          <w:tcPr>
            <w:tcW w:w="1000" w:type="dxa"/>
            <w:tcBorders>
              <w:top w:val="nil"/>
              <w:left w:val="nil"/>
              <w:bottom w:val="nil"/>
              <w:right w:val="nil"/>
            </w:tcBorders>
            <w:shd w:val="clear" w:color="auto" w:fill="auto"/>
            <w:noWrap/>
            <w:vAlign w:val="bottom"/>
            <w:hideMark/>
          </w:tcPr>
          <w:p w14:paraId="12A2BFDB" w14:textId="77777777" w:rsidR="000744B3" w:rsidRPr="000744B3" w:rsidRDefault="000744B3" w:rsidP="000744B3">
            <w:pPr>
              <w:spacing w:after="0" w:line="240" w:lineRule="auto"/>
              <w:rPr>
                <w:rFonts w:ascii="Calibri" w:eastAsia="Times New Roman" w:hAnsi="Calibri" w:cs="Calibri"/>
                <w:color w:val="000000"/>
                <w:lang w:eastAsia="en-GB"/>
              </w:rPr>
            </w:pPr>
            <w:r w:rsidRPr="000744B3">
              <w:rPr>
                <w:rFonts w:ascii="Calibri" w:eastAsia="Times New Roman" w:hAnsi="Calibri" w:cs="Calibri"/>
                <w:color w:val="000000"/>
                <w:lang w:eastAsia="en-GB"/>
              </w:rPr>
              <w:t>Klein</w:t>
            </w:r>
          </w:p>
        </w:tc>
        <w:tc>
          <w:tcPr>
            <w:tcW w:w="1000" w:type="dxa"/>
            <w:tcBorders>
              <w:top w:val="nil"/>
              <w:left w:val="nil"/>
              <w:bottom w:val="nil"/>
              <w:right w:val="nil"/>
            </w:tcBorders>
            <w:shd w:val="clear" w:color="auto" w:fill="auto"/>
            <w:noWrap/>
            <w:vAlign w:val="bottom"/>
            <w:hideMark/>
          </w:tcPr>
          <w:p w14:paraId="08A6DFF2" w14:textId="77777777" w:rsidR="000744B3" w:rsidRPr="000744B3" w:rsidRDefault="000744B3" w:rsidP="000744B3">
            <w:pPr>
              <w:spacing w:after="0" w:line="240" w:lineRule="auto"/>
              <w:jc w:val="right"/>
              <w:rPr>
                <w:rFonts w:ascii="Calibri" w:eastAsia="Times New Roman" w:hAnsi="Calibri" w:cs="Calibri"/>
                <w:color w:val="000000"/>
                <w:lang w:eastAsia="en-GB"/>
              </w:rPr>
            </w:pPr>
            <w:r w:rsidRPr="000744B3">
              <w:rPr>
                <w:rFonts w:ascii="Calibri" w:eastAsia="Times New Roman" w:hAnsi="Calibri" w:cs="Calibri"/>
                <w:color w:val="000000"/>
                <w:lang w:eastAsia="en-GB"/>
              </w:rPr>
              <w:t>2019</w:t>
            </w:r>
          </w:p>
        </w:tc>
        <w:tc>
          <w:tcPr>
            <w:tcW w:w="1000" w:type="dxa"/>
            <w:tcBorders>
              <w:top w:val="nil"/>
              <w:left w:val="nil"/>
              <w:bottom w:val="nil"/>
              <w:right w:val="nil"/>
            </w:tcBorders>
            <w:shd w:val="clear" w:color="auto" w:fill="auto"/>
            <w:noWrap/>
            <w:vAlign w:val="bottom"/>
            <w:hideMark/>
          </w:tcPr>
          <w:p w14:paraId="04EA00EA" w14:textId="77777777" w:rsidR="000744B3" w:rsidRPr="000744B3" w:rsidRDefault="000744B3" w:rsidP="000744B3">
            <w:pPr>
              <w:spacing w:after="0" w:line="240" w:lineRule="auto"/>
              <w:jc w:val="right"/>
              <w:rPr>
                <w:rFonts w:ascii="Calibri" w:eastAsia="Times New Roman" w:hAnsi="Calibri" w:cs="Calibri"/>
                <w:color w:val="000000"/>
                <w:lang w:eastAsia="en-GB"/>
              </w:rPr>
            </w:pPr>
            <w:r w:rsidRPr="000744B3">
              <w:rPr>
                <w:rFonts w:ascii="Calibri" w:eastAsia="Times New Roman" w:hAnsi="Calibri" w:cs="Calibri"/>
                <w:color w:val="000000"/>
                <w:lang w:eastAsia="en-GB"/>
              </w:rPr>
              <w:t>1</w:t>
            </w:r>
          </w:p>
        </w:tc>
        <w:tc>
          <w:tcPr>
            <w:tcW w:w="1000" w:type="dxa"/>
            <w:gridSpan w:val="2"/>
            <w:tcBorders>
              <w:top w:val="nil"/>
              <w:left w:val="nil"/>
              <w:bottom w:val="nil"/>
              <w:right w:val="nil"/>
            </w:tcBorders>
            <w:shd w:val="clear" w:color="auto" w:fill="auto"/>
            <w:noWrap/>
            <w:vAlign w:val="bottom"/>
            <w:hideMark/>
          </w:tcPr>
          <w:p w14:paraId="2031B4C0" w14:textId="77777777" w:rsidR="000744B3" w:rsidRPr="000744B3" w:rsidRDefault="000744B3" w:rsidP="000744B3">
            <w:pPr>
              <w:spacing w:after="0" w:line="240" w:lineRule="auto"/>
              <w:jc w:val="right"/>
              <w:rPr>
                <w:rFonts w:ascii="Calibri" w:eastAsia="Times New Roman" w:hAnsi="Calibri" w:cs="Calibri"/>
                <w:color w:val="000000"/>
                <w:lang w:eastAsia="en-GB"/>
              </w:rPr>
            </w:pPr>
            <w:r w:rsidRPr="000744B3">
              <w:rPr>
                <w:rFonts w:ascii="Calibri" w:eastAsia="Times New Roman" w:hAnsi="Calibri" w:cs="Calibri"/>
                <w:color w:val="000000"/>
                <w:lang w:eastAsia="en-GB"/>
              </w:rPr>
              <w:t>11</w:t>
            </w:r>
          </w:p>
        </w:tc>
      </w:tr>
    </w:tbl>
    <w:p w14:paraId="648D933B" w14:textId="243A0543" w:rsidR="000744B3" w:rsidRDefault="008311FF" w:rsidP="000744B3">
      <w:pPr>
        <w:pStyle w:val="ListParagraph"/>
        <w:numPr>
          <w:ilvl w:val="1"/>
          <w:numId w:val="1"/>
        </w:numPr>
        <w:spacing w:after="0" w:line="240" w:lineRule="auto"/>
        <w:contextualSpacing w:val="0"/>
      </w:pPr>
      <w:r>
        <w:t>This is used in the code where we want to compare the cost difference of just costing length of stay vs using their own cost differences in studies which had both.</w:t>
      </w:r>
    </w:p>
    <w:p w14:paraId="60E8B09B" w14:textId="641AC411" w:rsidR="00A933AD" w:rsidRDefault="00A933AD" w:rsidP="00A933AD">
      <w:pPr>
        <w:spacing w:after="0" w:line="240" w:lineRule="auto"/>
      </w:pPr>
    </w:p>
    <w:p w14:paraId="71E09A50" w14:textId="508CDC9B" w:rsidR="00A933AD" w:rsidRDefault="00A933AD" w:rsidP="00A933AD">
      <w:pPr>
        <w:spacing w:after="0" w:line="240" w:lineRule="auto"/>
      </w:pPr>
    </w:p>
    <w:p w14:paraId="697989AE" w14:textId="77777777" w:rsidR="00A933AD" w:rsidRPr="00A933AD" w:rsidRDefault="00A933AD" w:rsidP="00A933AD">
      <w:pPr>
        <w:spacing w:after="0" w:line="240" w:lineRule="auto"/>
        <w:rPr>
          <w:i/>
        </w:rPr>
      </w:pPr>
      <w:r w:rsidRPr="00A933AD">
        <w:rPr>
          <w:i/>
        </w:rPr>
        <w:t>FOR COST PER CASE ANALYSIS:</w:t>
      </w:r>
    </w:p>
    <w:p w14:paraId="01A78640" w14:textId="77777777" w:rsidR="00A933AD" w:rsidRPr="00A933AD" w:rsidRDefault="00A933AD" w:rsidP="00A933AD">
      <w:pPr>
        <w:spacing w:after="0" w:line="240" w:lineRule="auto"/>
        <w:rPr>
          <w:i/>
        </w:rPr>
      </w:pPr>
    </w:p>
    <w:p w14:paraId="46F815BA" w14:textId="781B722A" w:rsidR="00A933AD" w:rsidRPr="00A933AD" w:rsidRDefault="00A933AD" w:rsidP="00A933AD">
      <w:pPr>
        <w:spacing w:after="0" w:line="240" w:lineRule="auto"/>
        <w:rPr>
          <w:i/>
          <w:color w:val="FF0000"/>
        </w:rPr>
      </w:pPr>
      <w:r w:rsidRPr="00A933AD">
        <w:rPr>
          <w:i/>
          <w:color w:val="FF0000"/>
        </w:rPr>
        <w:t>RUN AMR CODE, THEN DRI CODE, THEN SCENARIO 2, THEN CAN RUN THE OTHER OUTPUT CREATION FILES</w:t>
      </w:r>
      <w:bookmarkStart w:id="0" w:name="_GoBack"/>
      <w:bookmarkEnd w:id="0"/>
    </w:p>
    <w:sectPr w:rsidR="00A933AD" w:rsidRPr="00A933AD">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BF3167" w14:textId="77777777" w:rsidR="0057014C" w:rsidRDefault="0057014C" w:rsidP="00055712">
      <w:pPr>
        <w:spacing w:after="0" w:line="240" w:lineRule="auto"/>
      </w:pPr>
      <w:r>
        <w:separator/>
      </w:r>
    </w:p>
  </w:endnote>
  <w:endnote w:type="continuationSeparator" w:id="0">
    <w:p w14:paraId="3097BDFF" w14:textId="77777777" w:rsidR="0057014C" w:rsidRDefault="0057014C" w:rsidP="000557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 New Roman (Body CS)">
    <w:altName w:val="Times New Roman"/>
    <w:charset w:val="00"/>
    <w:family w:val="roman"/>
    <w:pitch w:val="variable"/>
    <w:sig w:usb0="E0002AFF" w:usb1="C0007841" w:usb2="00000009" w:usb3="00000000" w:csb0="000001FF" w:csb1="00000000"/>
  </w:font>
  <w:font w:name="McgjyyAdvTTb5929f4c">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B5BB4" w14:textId="77777777" w:rsidR="00BF4B12" w:rsidRDefault="00BF4B1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9915E0" w14:textId="77777777" w:rsidR="00BF4B12" w:rsidRDefault="00BF4B12">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A87581" w14:textId="77777777" w:rsidR="00BF4B12" w:rsidRDefault="00BF4B1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46152E" w14:textId="77777777" w:rsidR="0057014C" w:rsidRDefault="0057014C" w:rsidP="00055712">
      <w:pPr>
        <w:spacing w:after="0" w:line="240" w:lineRule="auto"/>
      </w:pPr>
      <w:r>
        <w:separator/>
      </w:r>
    </w:p>
  </w:footnote>
  <w:footnote w:type="continuationSeparator" w:id="0">
    <w:p w14:paraId="2A111BFD" w14:textId="77777777" w:rsidR="0057014C" w:rsidRDefault="0057014C" w:rsidP="000557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503134" w14:textId="77777777" w:rsidR="00BF4B12" w:rsidRDefault="00BF4B12">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3D5173" w14:textId="06A1C389" w:rsidR="00055712" w:rsidRDefault="00055712">
    <w:pPr>
      <w:pStyle w:val="Header"/>
    </w:pPr>
    <w:r>
      <w:t>Version1.</w:t>
    </w:r>
    <w:r w:rsidR="00BF4B12">
      <w:t>2</w:t>
    </w:r>
    <w:r>
      <w:tab/>
    </w:r>
    <w:r>
      <w:tab/>
    </w:r>
    <w:r w:rsidR="00BF4B12">
      <w:t>27/05</w:t>
    </w:r>
    <w:r>
      <w:t>/202</w:t>
    </w:r>
    <w:r w:rsidR="00903F0F">
      <w:t>2</w:t>
    </w:r>
  </w:p>
  <w:p w14:paraId="0C6A84F1" w14:textId="77777777" w:rsidR="00055712" w:rsidRDefault="00055712">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053CFB" w14:textId="77777777" w:rsidR="00BF4B12" w:rsidRDefault="00BF4B1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F0C29"/>
    <w:multiLevelType w:val="hybridMultilevel"/>
    <w:tmpl w:val="7B587B06"/>
    <w:lvl w:ilvl="0" w:tplc="AC90BC7C">
      <w:numFmt w:val="bullet"/>
      <w:lvlText w:val="-"/>
      <w:lvlJc w:val="left"/>
      <w:pPr>
        <w:ind w:left="720" w:hanging="360"/>
      </w:pPr>
      <w:rPr>
        <w:rFonts w:ascii="Arial" w:eastAsiaTheme="minorHAns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F615E5"/>
    <w:multiLevelType w:val="hybridMultilevel"/>
    <w:tmpl w:val="607034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AD6A68"/>
    <w:multiLevelType w:val="hybridMultilevel"/>
    <w:tmpl w:val="E84643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D71B91"/>
    <w:multiLevelType w:val="hybridMultilevel"/>
    <w:tmpl w:val="AA24D3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1F545E9"/>
    <w:multiLevelType w:val="hybridMultilevel"/>
    <w:tmpl w:val="FE2686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B49"/>
    <w:rsid w:val="00055712"/>
    <w:rsid w:val="000744B3"/>
    <w:rsid w:val="001103E2"/>
    <w:rsid w:val="00143E3F"/>
    <w:rsid w:val="003D15C1"/>
    <w:rsid w:val="0040639E"/>
    <w:rsid w:val="00493C19"/>
    <w:rsid w:val="004A7559"/>
    <w:rsid w:val="0057014C"/>
    <w:rsid w:val="0059586F"/>
    <w:rsid w:val="005A4502"/>
    <w:rsid w:val="005C5A31"/>
    <w:rsid w:val="0061608B"/>
    <w:rsid w:val="00643619"/>
    <w:rsid w:val="0064515A"/>
    <w:rsid w:val="00677DA5"/>
    <w:rsid w:val="007249B6"/>
    <w:rsid w:val="00773B49"/>
    <w:rsid w:val="008311FF"/>
    <w:rsid w:val="00903F0F"/>
    <w:rsid w:val="009B1641"/>
    <w:rsid w:val="00A45925"/>
    <w:rsid w:val="00A7034E"/>
    <w:rsid w:val="00A933AD"/>
    <w:rsid w:val="00B77D00"/>
    <w:rsid w:val="00BD39B4"/>
    <w:rsid w:val="00BD3CEC"/>
    <w:rsid w:val="00BE706B"/>
    <w:rsid w:val="00BF4B12"/>
    <w:rsid w:val="00C61EEE"/>
    <w:rsid w:val="00C805C3"/>
    <w:rsid w:val="00CB2A86"/>
    <w:rsid w:val="00D01FE6"/>
    <w:rsid w:val="00DC49F9"/>
    <w:rsid w:val="00DE00CD"/>
    <w:rsid w:val="00FF33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09821"/>
  <w15:chartTrackingRefBased/>
  <w15:docId w15:val="{CCA492B7-CF1E-444D-A156-DE73E1A0A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57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5712"/>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0557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5712"/>
  </w:style>
  <w:style w:type="paragraph" w:styleId="Footer">
    <w:name w:val="footer"/>
    <w:basedOn w:val="Normal"/>
    <w:link w:val="FooterChar"/>
    <w:uiPriority w:val="99"/>
    <w:unhideWhenUsed/>
    <w:rsid w:val="000557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5712"/>
  </w:style>
  <w:style w:type="paragraph" w:styleId="ListParagraph">
    <w:name w:val="List Paragraph"/>
    <w:basedOn w:val="Normal"/>
    <w:uiPriority w:val="34"/>
    <w:qFormat/>
    <w:rsid w:val="00055712"/>
    <w:pPr>
      <w:ind w:left="720"/>
      <w:contextualSpacing/>
    </w:pPr>
  </w:style>
  <w:style w:type="paragraph" w:styleId="Subtitle">
    <w:name w:val="Subtitle"/>
    <w:basedOn w:val="Normal"/>
    <w:next w:val="Normal"/>
    <w:link w:val="SubtitleChar"/>
    <w:uiPriority w:val="11"/>
    <w:qFormat/>
    <w:rsid w:val="0005571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55712"/>
    <w:rPr>
      <w:rFonts w:eastAsiaTheme="minorEastAsia"/>
      <w:color w:val="5A5A5A" w:themeColor="text1" w:themeTint="A5"/>
      <w:spacing w:val="15"/>
    </w:rPr>
  </w:style>
  <w:style w:type="paragraph" w:styleId="CommentText">
    <w:name w:val="annotation text"/>
    <w:basedOn w:val="Normal"/>
    <w:link w:val="CommentTextChar"/>
    <w:uiPriority w:val="99"/>
    <w:unhideWhenUsed/>
    <w:rsid w:val="00DC49F9"/>
    <w:pPr>
      <w:spacing w:after="0" w:line="240" w:lineRule="auto"/>
    </w:pPr>
    <w:rPr>
      <w:rFonts w:ascii="Arial" w:hAnsi="Arial" w:cs="Times New Roman (Body CS)"/>
      <w:sz w:val="20"/>
      <w:szCs w:val="20"/>
    </w:rPr>
  </w:style>
  <w:style w:type="character" w:customStyle="1" w:styleId="CommentTextChar">
    <w:name w:val="Comment Text Char"/>
    <w:basedOn w:val="DefaultParagraphFont"/>
    <w:link w:val="CommentText"/>
    <w:uiPriority w:val="99"/>
    <w:rsid w:val="00DC49F9"/>
    <w:rPr>
      <w:rFonts w:ascii="Arial" w:hAnsi="Arial" w:cs="Times New Roman (Body 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481898">
      <w:bodyDiv w:val="1"/>
      <w:marLeft w:val="0"/>
      <w:marRight w:val="0"/>
      <w:marTop w:val="0"/>
      <w:marBottom w:val="0"/>
      <w:divBdr>
        <w:top w:val="none" w:sz="0" w:space="0" w:color="auto"/>
        <w:left w:val="none" w:sz="0" w:space="0" w:color="auto"/>
        <w:bottom w:val="none" w:sz="0" w:space="0" w:color="auto"/>
        <w:right w:val="none" w:sz="0" w:space="0" w:color="auto"/>
      </w:divBdr>
    </w:div>
    <w:div w:id="928734169">
      <w:bodyDiv w:val="1"/>
      <w:marLeft w:val="0"/>
      <w:marRight w:val="0"/>
      <w:marTop w:val="0"/>
      <w:marBottom w:val="0"/>
      <w:divBdr>
        <w:top w:val="none" w:sz="0" w:space="0" w:color="auto"/>
        <w:left w:val="none" w:sz="0" w:space="0" w:color="auto"/>
        <w:bottom w:val="none" w:sz="0" w:space="0" w:color="auto"/>
        <w:right w:val="none" w:sz="0" w:space="0" w:color="auto"/>
      </w:divBdr>
    </w:div>
    <w:div w:id="1205604917">
      <w:bodyDiv w:val="1"/>
      <w:marLeft w:val="0"/>
      <w:marRight w:val="0"/>
      <w:marTop w:val="0"/>
      <w:marBottom w:val="0"/>
      <w:divBdr>
        <w:top w:val="none" w:sz="0" w:space="0" w:color="auto"/>
        <w:left w:val="none" w:sz="0" w:space="0" w:color="auto"/>
        <w:bottom w:val="none" w:sz="0" w:space="0" w:color="auto"/>
        <w:right w:val="none" w:sz="0" w:space="0" w:color="auto"/>
      </w:divBdr>
    </w:div>
    <w:div w:id="1616593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405</Words>
  <Characters>2311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London School of Hygiene &amp; Tropical Medicine</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 Naylor</dc:creator>
  <cp:keywords/>
  <dc:description/>
  <cp:lastModifiedBy>Nichola Naylor</cp:lastModifiedBy>
  <cp:revision>11</cp:revision>
  <dcterms:created xsi:type="dcterms:W3CDTF">2022-05-27T11:21:00Z</dcterms:created>
  <dcterms:modified xsi:type="dcterms:W3CDTF">2022-07-13T18:19:00Z</dcterms:modified>
</cp:coreProperties>
</file>