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1D21"/>
        </w:rPr>
        <w:t>План выпускной квалификационной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711"/>
      </w:tblGrid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1"/>
              </w:rPr>
              <w:t>Студент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21"/>
              </w:rPr>
              <w:t>Евстигнеев Никита Артёмович, группа P3431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1"/>
              </w:rPr>
              <w:t>Направление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21"/>
              </w:rPr>
              <w:t>09.03.01 «Информатика и вычислительная техника»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1"/>
              </w:rPr>
              <w:t>Руководитель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21"/>
              </w:rPr>
              <w:t>Сергей Вячеславович ____________ (фамилия, должность)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1"/>
              </w:rPr>
              <w:t>Тема (согласована)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21"/>
              </w:rPr>
              <w:t>«Разработка ИИ-агента для приложений граничного искусственного интеллекта»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1"/>
              </w:rPr>
              <w:t>Дата</w:t>
            </w:r>
          </w:p>
        </w:tc>
        <w:tc>
          <w:tcPr>
            <w:tcW w:type="dxa" w:w="7710"/>
          </w:tcPr>
          <w:p>
            <w:pPr>
              <w:spacing w:after="0"/>
            </w:pPr>
            <w:r>
              <w:rPr>
                <w:sz w:val="21"/>
              </w:rPr>
              <w:t>6 октября 2026 г. (рабочая версия после встречи с руководителем)</w:t>
            </w:r>
          </w:p>
        </w:tc>
      </w:tr>
    </w:tbl>
    <w:p>
      <w:pPr>
        <w:spacing w:after="40"/>
      </w:pPr>
    </w:p>
    <w:p>
      <w:pPr>
        <w:shd w:val="clear" w:color="auto" w:fill="F3F5F8"/>
        <w:pBdr>
          <w:left w:val="single" w:sz="18" w:space="6" w:color="1F4E8C"/>
        </w:pBdr>
        <w:ind w:left="170"/>
      </w:pPr>
      <w:r>
        <w:rPr>
          <w:b/>
        </w:rPr>
        <w:t>Кратко.</w:t>
      </w:r>
      <w:r>
        <w:t xml:space="preserve"> ИИ-агент работает на одноплатном компьютере, к которому подключены датчики, камера и исполнительные устройства. Агент сам решает, когда и с какой справкой обращаться к внешней языковой модели (GPT mini/nano через RouterAI), часть событий обрабатывает локальными правилами без модели и проверяет каждую команду исполнительным устройствам; модель нужна для разбора запросов пользователя и нештатных ситуаций. Сведения об оборудовании агент получает через MCP-серверы. Агент ведёт два контекста: </w:t>
      </w:r>
      <w:r>
        <w:rPr>
          <w:b/>
        </w:rPr>
        <w:t>пользователя</w:t>
      </w:r>
      <w:r>
        <w:t xml:space="preserve"> (что просил, что предпочитает) и </w:t>
      </w:r>
      <w:r>
        <w:rPr>
          <w:b/>
        </w:rPr>
        <w:t>оборудования</w:t>
      </w:r>
      <w:r>
        <w:t xml:space="preserve"> (что подключено, что показывают датчики, что произошло).</w:t>
      </w:r>
    </w:p>
    <w:p>
      <w:pPr>
        <w:shd w:val="clear" w:color="auto" w:fill="F3F5F8"/>
        <w:pBdr>
          <w:left w:val="single" w:sz="18" w:space="6" w:color="1F4E8C"/>
        </w:pBdr>
        <w:ind w:left="170"/>
      </w:pPr>
      <w:r>
        <w:t xml:space="preserve">Каждый вызов модели требует денег, времени и трафика, поэтому главный вопрос работы — как вести эти контексты и когда вызывать модель, чтобы агент </w:t>
      </w:r>
      <w:r>
        <w:rPr>
          <w:b/>
        </w:rPr>
        <w:t>часами</w:t>
      </w:r>
      <w:r>
        <w:t xml:space="preserve"> работал дёшево на маломощном оборудовании и не пропускал важное. Результат оценивается так, как предложил руководитель, — по работе системы во времени: за рабочий день подсчитываются вызовы модели, токены, расходы в рублях, трафик, потребление памяти и загрузка процессора платы, задержка реакции.</w:t>
      </w:r>
    </w:p>
    <w:p>
      <w:pPr>
        <w:pStyle w:val="Heading2"/>
      </w:pPr>
      <w:r>
        <w:rPr>
          <w:color w:val="1F4E8C"/>
        </w:rPr>
        <w:t>1. Тема и рабочее уточнение</w:t>
      </w:r>
    </w:p>
    <w:p>
      <w:r>
        <w:rPr>
          <w:b/>
        </w:rPr>
        <w:t>На титул (без изменений):</w:t>
      </w:r>
      <w:r>
        <w:t xml:space="preserve"> «Разработка ИИ-агента для приложений граничного искусственного интеллекта».</w:t>
      </w:r>
    </w:p>
    <w:p>
      <w:r>
        <w:rPr>
          <w:b/>
        </w:rPr>
        <w:t>Уточнение во введении:</w:t>
      </w:r>
      <w:r>
        <w:t xml:space="preserve"> ИИ-агент для одноплатного компьютера, использующий внешнюю языковую модель и MCP-доступ к датчикам и исполнительным устройствам и экономно ведущий контексты пользователя и оборудования при многочасовой работе.</w:t>
      </w:r>
    </w:p>
    <w:p>
      <w:r>
        <w:t>Это граничный ИИ в широком смысле обзора [1], который не сводит его к «модели на устройстве»: по шкале из [1] рассуждение относится к уровню 1 (совместный вывод «облако — граница»: данные обрабатываются рядом с источником, в облако уходит только сжатый контекст), а распознавание камерой — к уровню 3 (вывод на устройстве). Кроме того, на плате работают событийный фильтр, локальные правила и проверка команд. Агент понимается в «слабом» смысле [2]: он автономен, реагирует на изменения окружения, действует по собственной инициативе и взаимодействует с пользователем.</w:t>
      </w:r>
    </w:p>
    <w:p>
      <w:r>
        <w:rPr>
          <w:b/>
        </w:rPr>
        <w:t>Почему языковая модель внешняя.</w:t>
      </w:r>
      <w:r>
        <w:t xml:space="preserve"> На одноплатнике с несколькими гигабайтами памяти практически пригодны только языковые модели примерно до 1,5 млрд параметров, и они медленные: на Raspberry Pi 5 это порядка 5–15 токенов в секунду, а модели на 3 млрд параметров дают 2–5 токенов в секунду [23]. Открытые модели, сопоставимые по качеству с облачными, требуют десятков гигабайт памяти (например, около 43 ГБ для модели на 70 млрд параметров при 4-битном квантовании [24]). Поэтому «думает» облако, а на плате остаются задачи, которые она решает быстро и локально: распознавание объектов в кадре камеры, фильтрация событий, локальные правила, проверка команд. Для главы 1 это решение будет подкреплено одним контрольным замером на самой плате: время ответа локальной модели около 1 млрд параметров на типичный запрос агента.</w:t>
      </w:r>
    </w:p>
    <w:p>
      <w:pPr>
        <w:pStyle w:val="Heading2"/>
      </w:pPr>
      <w:r>
        <w:rPr>
          <w:color w:val="1F4E8C"/>
        </w:rPr>
        <w:t>2. Что строится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0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 1 — Состав системы. Зелёным отмечены механизмы, которые сокращают число вызовов модели и объём передаваемых токенов; красным — проверка команд исполнительным устройствам.</w:t>
      </w:r>
    </w:p>
    <w:p>
      <w:pPr>
        <w:pStyle w:val="ListBullet"/>
      </w:pPr>
      <w:r>
        <w:rPr>
          <w:b/>
        </w:rPr>
        <w:t>Агент</w:t>
      </w:r>
      <w:r>
        <w:t xml:space="preserve"> — собственная программа на Go: один статический исполняемый файл без внешних зависимостей. По требованиям Go (ядро Linux ≥ 3.2) такой файл должен запускаться и на устаревшей системе Jetson Nano (Ubuntu 18.04, ядро 4.9), и на Raspberry Pi; на самой плате это будет проверено дымовым тестом. Внутри — цикл агента, два контекста, событийный фильтр, модуль формирования запроса, проверка команд, журнал метрик. Нижний уровень (локальные правила и проверка команд) работает и без модели — в соответствии с идеей многоуровневой архитектуры управления [3]. Проверка команд вынесена из запроса к модели в отдельный детерминированный модуль, потому что правила, записанные в запросе, модель соблюдает не полностью [10].</w:t>
      </w:r>
    </w:p>
    <w:p>
      <w:pPr>
        <w:pStyle w:val="ListBullet"/>
      </w:pPr>
      <w:r>
        <w:rPr>
          <w:b/>
        </w:rPr>
        <w:t>MCP-серверы оборудования.</w:t>
      </w:r>
      <w:r>
        <w:t xml:space="preserve"> Датчики и реле (сведения о подключённом оборудовании берутся из данных, которые уже предоставляет ядро Linux). Камера с детектором объектов на плате: в модель уходит текстовая сводка («в комнате 1 человек»), а не кадр, потому что кадр стоит намного больше токенов: кадр 640×480 — около 360–740 токенов у моделей GPT-5 и GPT-4.1 mini и nano и 2 833–14 167 у gpt-4o-mini против 30–60 токенов у текстовой сводки (от нескольких раз до сотен раз в зависимости от модели). Эмулятор помещения по записям датчиков реальных домов (набор CASAS [5, 25]) нужен для воспроизводимых замеров без реального оборудования. Второй сценарий — </w:t>
      </w:r>
      <w:r>
        <w:rPr>
          <w:b/>
        </w:rPr>
        <w:t>мобильный робот</w:t>
      </w:r>
      <w:r>
        <w:t xml:space="preserve"> TurtleBot3 в симуляторе Gazebo под управлением ROS 2 (камера, лидар, одометрия, навигация Nav2). Симулятор работает в отдельной виртуальной машине, агент — на «плате», связь по сети через rosbridge, как при реальном развёртывании. Для сравнения используется готовый MCP-мост ros-mcp-server, а собственный компактный MCP-адаптер робота отдаёт модели короткие сводки и события вместо сырых потоков датчиков. Обмен идёт по протоколу MCP в ревизии 2025-11-25 [16], которую поддерживают и PicoClaw, и nanobot.</w:t>
      </w:r>
    </w:p>
    <w:p>
      <w:pPr>
        <w:pStyle w:val="ListBullet"/>
      </w:pPr>
      <w:r>
        <w:rPr>
          <w:b/>
        </w:rPr>
        <w:t>Измерительный стенд «рабочего дня».</w:t>
      </w:r>
      <w:r>
        <w:t xml:space="preserve"> Один и тот же день — команды пользователя и события датчиков по реальным данным — воспроизводится на разработанном агенте и на аналогах. Потребление ресурсов, вызовы модели и затраты регистрируются как временные ряды.</w:t>
      </w:r>
    </w:p>
    <w:p>
      <w:pPr>
        <w:pStyle w:val="Heading2"/>
      </w:pPr>
      <w:r>
        <w:rPr>
          <w:color w:val="1F4E8C"/>
        </w:rPr>
        <w:t>3. Аналоги и новизна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1"/>
        <w:gridCol w:w="3756"/>
        <w:gridCol w:w="4207"/>
      </w:tblGrid>
      <w:tr>
        <w:tc>
          <w:tcPr>
            <w:tcW w:type="dxa" w:w="1561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Система</w:t>
            </w:r>
          </w:p>
        </w:tc>
        <w:tc>
          <w:tcPr>
            <w:tcW w:type="dxa" w:w="3756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Что это</w:t>
            </w:r>
          </w:p>
        </w:tc>
        <w:tc>
          <w:tcPr>
            <w:tcW w:type="dxa" w:w="4207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Ресурсы</w:t>
            </w:r>
          </w:p>
        </w:tc>
      </w:tr>
      <w:tr>
        <w:tc>
          <w:tcPr>
            <w:tcW w:type="dxa" w:w="1561"/>
          </w:tcPr>
          <w:p>
            <w:pPr>
              <w:spacing w:after="0"/>
            </w:pPr>
            <w:r>
              <w:rPr>
                <w:sz w:val="20"/>
              </w:rPr>
              <w:t>OpenClaw [20]</w:t>
            </w:r>
          </w:p>
        </w:tc>
        <w:tc>
          <w:tcPr>
            <w:tcW w:type="dxa" w:w="3756"/>
          </w:tcPr>
          <w:p>
            <w:pPr>
              <w:spacing w:after="0"/>
            </w:pPr>
            <w:r>
              <w:rPr>
                <w:sz w:val="20"/>
              </w:rPr>
              <w:t>самый популярный личный ИИ-агент (TypeScript, около 391 тыс. звёзд на GitHub): внешняя языковая модель, инструменты, мессенджеры, периодическая фоновая проверка (heartbeat)</w:t>
            </w:r>
          </w:p>
        </w:tc>
        <w:tc>
          <w:tcPr>
            <w:tcW w:type="dxa" w:w="4207"/>
          </w:tcPr>
          <w:p>
            <w:pPr>
              <w:spacing w:after="0"/>
            </w:pPr>
            <w:r>
              <w:rPr>
                <w:sz w:val="20"/>
              </w:rPr>
              <w:t>тяжёлый: медиана пиковой памяти около 2,9 ГиБ (2 926,6 МиБ; Docker на рабочей станции, замер на задачу) [11]; на Jetson Nano штатно не запускается: текущая версия требует Node.js ≥ 24.16, а официальные сборки Node.js для arm64 — glibc ≥ 2.28 и ядро ≥ 4.18 (на Nano 2.27 и 4.9)</w:t>
            </w:r>
          </w:p>
        </w:tc>
      </w:tr>
      <w:tr>
        <w:tc>
          <w:tcPr>
            <w:tcW w:type="dxa" w:w="1561"/>
          </w:tcPr>
          <w:p>
            <w:pPr>
              <w:spacing w:after="0"/>
            </w:pPr>
            <w:r>
              <w:rPr>
                <w:sz w:val="20"/>
              </w:rPr>
              <w:t>NanoClaw [19]</w:t>
            </w:r>
          </w:p>
        </w:tc>
        <w:tc>
          <w:tcPr>
            <w:tcW w:type="dxa" w:w="3756"/>
          </w:tcPr>
          <w:p>
            <w:pPr>
              <w:spacing w:after="0"/>
            </w:pPr>
            <w:r>
              <w:rPr>
                <w:sz w:val="20"/>
              </w:rPr>
              <w:t>облегчённая альтернатива OpenClaw (TypeScript): каждый агент в своём контейнере, внутри — Claude Agent SDK, другие модели подключаются дополнениями. Из него взят приём «скрипт решает, будить ли модель» (</w:t>
            </w:r>
            <w:r>
              <w:rPr>
                <w:rFonts w:ascii="Menlo" w:hAnsi="Menlo"/>
                <w:sz w:val="20"/>
              </w:rPr>
              <w:t>wakeAgent: false</w:t>
            </w:r>
            <w:r>
              <w:rPr>
                <w:sz w:val="20"/>
              </w:rPr>
              <w:t>)</w:t>
            </w:r>
          </w:p>
        </w:tc>
        <w:tc>
          <w:tcPr>
            <w:tcW w:type="dxa" w:w="4207"/>
          </w:tcPr>
          <w:p>
            <w:pPr>
              <w:spacing w:after="0"/>
            </w:pPr>
            <w:r>
              <w:rPr>
                <w:sz w:val="20"/>
              </w:rPr>
              <w:t>Node.js ≥ 22 и Docker; на Jetson Nano штатно не запускается, с GPT mini через RouterAI штатно не работает — поэтому в замерах не участвует и разбирается в главе 1</w:t>
            </w:r>
          </w:p>
        </w:tc>
      </w:tr>
      <w:tr>
        <w:tc>
          <w:tcPr>
            <w:tcW w:type="dxa" w:w="1561"/>
          </w:tcPr>
          <w:p>
            <w:pPr>
              <w:spacing w:after="0"/>
            </w:pPr>
            <w:r>
              <w:rPr>
                <w:sz w:val="20"/>
              </w:rPr>
              <w:t>PicoClaw [17]</w:t>
            </w:r>
          </w:p>
        </w:tc>
        <w:tc>
          <w:tcPr>
            <w:tcW w:type="dxa" w:w="3756"/>
          </w:tcPr>
          <w:p>
            <w:pPr>
              <w:spacing w:after="0"/>
            </w:pPr>
            <w:r>
              <w:rPr>
                <w:sz w:val="20"/>
              </w:rPr>
              <w:t>сверхлёгкий агент на Go для недорогих устройств (Sipeed)</w:t>
            </w:r>
          </w:p>
        </w:tc>
        <w:tc>
          <w:tcPr>
            <w:tcW w:type="dxa" w:w="4207"/>
          </w:tcPr>
          <w:p>
            <w:pPr>
              <w:spacing w:after="0"/>
            </w:pPr>
            <w:r>
              <w:rPr>
                <w:sz w:val="20"/>
              </w:rPr>
              <w:t>заявлено менее 10 МБ (новые сборки 10–20 МБ) [17]; независимый замер — около 31 МБ пиковой памяти на Raspberry Pi 4 [22]</w:t>
            </w:r>
          </w:p>
        </w:tc>
      </w:tr>
      <w:tr>
        <w:tc>
          <w:tcPr>
            <w:tcW w:type="dxa" w:w="1561"/>
          </w:tcPr>
          <w:p>
            <w:pPr>
              <w:spacing w:after="0"/>
            </w:pPr>
            <w:r>
              <w:rPr>
                <w:sz w:val="20"/>
              </w:rPr>
              <w:t>nanobot [21]</w:t>
            </w:r>
          </w:p>
        </w:tc>
        <w:tc>
          <w:tcPr>
            <w:tcW w:type="dxa" w:w="3756"/>
          </w:tcPr>
          <w:p>
            <w:pPr>
              <w:spacing w:after="0"/>
            </w:pPr>
            <w:r>
              <w:rPr>
                <w:sz w:val="20"/>
              </w:rPr>
              <w:t>лёгкий агент на Python (HKUDS)</w:t>
            </w:r>
          </w:p>
        </w:tc>
        <w:tc>
          <w:tcPr>
            <w:tcW w:type="dxa" w:w="4207"/>
          </w:tcPr>
          <w:p>
            <w:pPr>
              <w:spacing w:after="0"/>
            </w:pPr>
            <w:r>
              <w:rPr>
                <w:sz w:val="20"/>
              </w:rPr>
              <w:t>около 130 МБ пиковой памяти на Raspberry Pi 4 [22]; медиана 136 МиБ в замере [11] (версия 0.1.5)</w:t>
            </w:r>
          </w:p>
        </w:tc>
      </w:tr>
      <w:tr>
        <w:tc>
          <w:tcPr>
            <w:tcW w:type="dxa" w:w="1561"/>
          </w:tcPr>
          <w:p>
            <w:pPr>
              <w:spacing w:after="0"/>
            </w:pPr>
            <w:r>
              <w:rPr>
                <w:sz w:val="20"/>
              </w:rPr>
              <w:t>Home Assistant + языковая модель + MCP</w:t>
            </w:r>
          </w:p>
        </w:tc>
        <w:tc>
          <w:tcPr>
            <w:tcW w:type="dxa" w:w="3756"/>
          </w:tcPr>
          <w:p>
            <w:pPr>
              <w:spacing w:after="0"/>
            </w:pPr>
            <w:r>
              <w:rPr>
                <w:sz w:val="20"/>
              </w:rPr>
              <w:t>платформа умного дома с языковой моделью; широко распространена, часто работает на Raspberry Pi</w:t>
            </w:r>
          </w:p>
        </w:tc>
        <w:tc>
          <w:tcPr>
            <w:tcW w:type="dxa" w:w="4207"/>
          </w:tcPr>
          <w:p>
            <w:pPr>
              <w:spacing w:after="0"/>
            </w:pPr>
            <w:r>
              <w:rPr>
                <w:sz w:val="20"/>
              </w:rPr>
              <w:t>полноценный сервер умного дома</w:t>
            </w:r>
          </w:p>
        </w:tc>
      </w:tr>
      <w:tr>
        <w:tc>
          <w:tcPr>
            <w:tcW w:type="dxa" w:w="1561"/>
          </w:tcPr>
          <w:p>
            <w:pPr>
              <w:spacing w:after="0"/>
            </w:pPr>
            <w:r>
              <w:rPr>
                <w:sz w:val="20"/>
              </w:rPr>
              <w:t>IoT-MCP [6]</w:t>
            </w:r>
          </w:p>
        </w:tc>
        <w:tc>
          <w:tcPr>
            <w:tcW w:type="dxa" w:w="3756"/>
          </w:tcPr>
          <w:p>
            <w:pPr>
              <w:spacing w:after="0"/>
            </w:pPr>
            <w:r>
              <w:rPr>
                <w:sz w:val="20"/>
              </w:rPr>
              <w:t>научная работа: MCP-серверы для датчиков на граничных узлах</w:t>
            </w:r>
          </w:p>
        </w:tc>
        <w:tc>
          <w:tcPr>
            <w:tcW w:type="dxa" w:w="4207"/>
          </w:tcPr>
          <w:p>
            <w:pPr>
              <w:spacing w:after="0"/>
            </w:pPr>
            <w:r>
              <w:rPr>
                <w:sz w:val="20"/>
              </w:rPr>
              <w:t>среднее время ответа 205 мс, пиковая память 74 КБ на микроконтроллере, 12-часовой прогон без учёта токенов</w:t>
            </w:r>
          </w:p>
        </w:tc>
      </w:tr>
    </w:tbl>
    <w:p>
      <w:pPr>
        <w:spacing w:after="40"/>
      </w:pPr>
    </w:p>
    <w:p>
      <w:r>
        <w:rPr>
          <w:b/>
        </w:rPr>
        <w:t>Что уже известно.</w:t>
      </w:r>
      <w:r>
        <w:t xml:space="preserve"> Схема «тонкий агент на плате + внешняя языковая модель + MCP к оборудованию» уже широко распространена, и отдельные приёмы экономии уже встречаются у этих систем: неизменное начало (префикс) запроса для кэширования на стороне провайдера, фильтры перед вызовом модели, сокращение истории. В работе эти приёмы не выдаются за новые, на их источники даются ссылки. Смежное направление — «операционные системы для агентов» на серверах [15].</w:t>
      </w:r>
    </w:p>
    <w:p>
      <w:r>
        <w:rPr>
          <w:b/>
        </w:rPr>
        <w:t>Чего нет (пробел).</w:t>
      </w:r>
      <w:r>
        <w:t xml:space="preserve"> Замеры этих агентов сделаны на коротких задачах. В проверенных источниках не найдено измерений того, как такой агент ведёт себя в течение многочасового рабочего дня на реальном одноплатном компьютере: сколько вызовов модели он делает, сколько токенов, рублей, трафика и памяти расходует и при какой нагрузке каждый приём экономии действительно окупается.</w:t>
      </w:r>
    </w:p>
    <w:p>
      <w:r>
        <w:rPr>
          <w:b/>
        </w:rPr>
        <w:t>Личный вклад студента:</w:t>
      </w:r>
    </w:p>
    <w:p>
      <w:pPr>
        <w:pStyle w:val="ListBullet"/>
      </w:pPr>
      <w:r>
        <w:t>собственный агент с двумя контекстами и событийным фильтром;</w:t>
      </w:r>
    </w:p>
    <w:p>
      <w:pPr>
        <w:pStyle w:val="ListBullet"/>
      </w:pPr>
      <w:r>
        <w:t>MCP-сервер оборудования, который сам строит описание подключённых датчиков и реле по данным ядра Linux, без ручной настройки (готовой реализации этого приёма в проверенных источниках не найдено);</w:t>
      </w:r>
    </w:p>
    <w:p>
      <w:pPr>
        <w:pStyle w:val="ListBullet"/>
      </w:pPr>
      <w:r>
        <w:t>MCP-сервер камеры с распознаванием объектов на плате;</w:t>
      </w:r>
    </w:p>
    <w:p>
      <w:pPr>
        <w:pStyle w:val="ListBullet"/>
      </w:pPr>
      <w:r>
        <w:t>стенд «рабочего дня» на реальных данных;</w:t>
      </w:r>
    </w:p>
    <w:p>
      <w:pPr>
        <w:pStyle w:val="ListBullet"/>
      </w:pPr>
      <w:r>
        <w:t>сравнение с аналогами в одинаковых условиях (одна модель, одни MCP-серверы, один сценарий дня) и в их лучших штатных настройках;</w:t>
      </w:r>
    </w:p>
    <w:p>
      <w:pPr>
        <w:pStyle w:val="ListBullet"/>
      </w:pPr>
      <w:r>
        <w:t>оценка вклада каждого механизма и условий, при которых он окупается.</w:t>
      </w:r>
    </w:p>
    <w:p>
      <w:pPr>
        <w:pStyle w:val="Heading2"/>
      </w:pPr>
      <w:r>
        <w:rPr>
          <w:color w:val="1F4E8C"/>
        </w:rPr>
        <w:t>4. Цель и задачи</w:t>
      </w:r>
    </w:p>
    <w:p>
      <w:r>
        <w:rPr>
          <w:b/>
        </w:rPr>
        <w:t>Объект:</w:t>
      </w:r>
      <w:r>
        <w:t xml:space="preserve"> процесс функционирования ИИ-агента на одноплатном компьютере, использующего внешнюю языковую модель и MCP-доступ к оборудованию.</w:t>
      </w:r>
      <w:r>
        <w:br/>
      </w:r>
      <w:r>
        <w:t xml:space="preserve"> </w:t>
      </w:r>
      <w:r>
        <w:rPr>
          <w:b/>
        </w:rPr>
        <w:t>Предмет:</w:t>
      </w:r>
      <w:r>
        <w:t xml:space="preserve"> механизмы ведения контекстов пользователя и оборудования и выбора момента вызова модели, их влияние на затраты и потребление ресурсов системы при многочасовой работе.</w:t>
      </w:r>
    </w:p>
    <w:p>
      <w:r>
        <w:rPr>
          <w:b/>
        </w:rPr>
        <w:t>Цель:</w:t>
      </w:r>
      <w:r>
        <w:t xml:space="preserve"> сократить суточные затраты на обращения к внешней языковой модели (число вызовов, входные токены, рубли в сутки) ИИ-агента на одноплатном компьютере, чтобы его многочасовая ежедневная работа укладывалась в ограниченный бюджет на модель и ресурсы платы. Сокращение показывается относительно периодической фоновой проверки — штатного режима PicoClaw и nanobot; относительно PicoClaw в лучшей штатной настройке затраты должны быть не выше. Условия: полнота реакции на значимые события не хуже (допуск 5 процентных пунктов), небезопасных команд исполнительным устройствам — ноль. Достижение цели проверяется по 95-процентным доверительным интервалам отношений затрат на рабочем дне на плате.</w:t>
      </w:r>
    </w:p>
    <w:p>
      <w:r>
        <w:rPr>
          <w:b/>
        </w:rPr>
        <w:t>Задачи:</w:t>
      </w:r>
    </w:p>
    <w:p>
      <w:pPr>
        <w:ind w:left="510" w:hanging="397"/>
      </w:pPr>
      <w:r>
        <w:t xml:space="preserve">1. </w:t>
      </w:r>
      <w:r>
        <w:t>Проанализировать существующих ИИ-агентов для граничных устройств, протокол MCP и подходы к ведению контекста; выявить пробел в существующих исследованиях.</w:t>
      </w:r>
    </w:p>
    <w:p>
      <w:pPr>
        <w:ind w:left="510" w:hanging="397"/>
      </w:pPr>
      <w:r>
        <w:t xml:space="preserve">2. </w:t>
      </w:r>
      <w:r>
        <w:t>Разработать методику оценки «рабочего дня»: сценарий нагрузки по реальным данным, метрики, правила сравнения, методы статистической обработки.</w:t>
      </w:r>
    </w:p>
    <w:p>
      <w:pPr>
        <w:ind w:left="510" w:hanging="397"/>
      </w:pPr>
      <w:r>
        <w:t xml:space="preserve">3. </w:t>
      </w:r>
      <w:r>
        <w:t>Спроектировать архитектуру агента и MCP-серверов оборудования.</w:t>
      </w:r>
    </w:p>
    <w:p>
      <w:pPr>
        <w:ind w:left="510" w:hanging="397"/>
      </w:pPr>
      <w:r>
        <w:t xml:space="preserve">4. </w:t>
      </w:r>
      <w:r>
        <w:t>Реализовать агента, MCP-серверы (датчики и реле, камера с распознаванием, эмулятор помещения, компактный адаптер мобильного робота) и измерительный стенд.</w:t>
      </w:r>
    </w:p>
    <w:p>
      <w:pPr>
        <w:ind w:left="510" w:hanging="397"/>
      </w:pPr>
      <w:r>
        <w:t xml:space="preserve">5. </w:t>
      </w:r>
      <w:r>
        <w:t>Выбрать основную модель среди GPT mini/nano разных версий по стоимости успешного действия на командах стенда; провести сравнительные эксперименты с аналогами в эмуляции и на одноплатном компьютере.</w:t>
      </w:r>
    </w:p>
    <w:p>
      <w:pPr>
        <w:ind w:left="510" w:hanging="397"/>
      </w:pPr>
      <w:r>
        <w:t xml:space="preserve">6. </w:t>
      </w:r>
      <w:r>
        <w:t>Проанализировать результаты: оценить вклад механизмов, определить условия их окупаемости, сформулировать рекомендации по настройке.</w:t>
      </w:r>
    </w:p>
    <w:p>
      <w:r>
        <w:rPr>
          <w:b/>
        </w:rPr>
        <w:t>Структура записки</w:t>
      </w:r>
      <w:r>
        <w:t xml:space="preserve"> (40–60 страниц, три главы): глава 1 — обзор, аналоги, почему модель внешняя, пробел (задача 1); глава 2 — методика «рабочего дня», архитектура агента и MCP-серверов (задачи 2–3); глава 3 — реализация, эксперименты, сравнение с аналогами и рекомендации (задачи 4–6).</w:t>
      </w:r>
    </w:p>
    <w:p>
      <w:pPr>
        <w:pStyle w:val="Heading2"/>
      </w:pPr>
      <w:r>
        <w:rPr>
          <w:color w:val="1F4E8C"/>
        </w:rPr>
        <w:t>5. Гипотезы</w:t>
      </w:r>
    </w:p>
    <w:p>
      <w:r>
        <w:rPr>
          <w:color w:val="5B6170"/>
          <w:sz w:val="20"/>
        </w:rPr>
        <w:t>Пороговые значения фиксируются заранее, до прогонов. Отрицательный исход — тоже результат: он включается в отчёт, а не скрывается.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2"/>
        <w:gridCol w:w="5616"/>
        <w:gridCol w:w="2816"/>
      </w:tblGrid>
      <w:tr>
        <w:tc>
          <w:tcPr>
            <w:tcW w:type="dxa" w:w="1093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type="dxa" w:w="5616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Гипотеза</w:t>
            </w:r>
          </w:p>
        </w:tc>
        <w:tc>
          <w:tcPr>
            <w:tcW w:type="dxa" w:w="2816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Как проверяется</w:t>
            </w:r>
          </w:p>
        </w:tc>
      </w:tr>
      <w:tr>
        <w:tc>
          <w:tcPr>
            <w:tcW w:type="dxa" w:w="1093"/>
          </w:tcPr>
          <w:p>
            <w:pPr>
              <w:spacing w:after="0"/>
            </w:pPr>
            <w:r>
              <w:rPr>
                <w:sz w:val="20"/>
              </w:rPr>
              <w:t>H1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b/>
                <w:sz w:val="20"/>
              </w:rPr>
              <w:t>Когда вызывать модель.</w:t>
            </w:r>
            <w:r>
              <w:rPr>
                <w:sz w:val="20"/>
              </w:rPr>
              <w:t xml:space="preserve"> Событийный фильтр с локальными правилами требует меньше вызовов модели в сутки, чем периодическая фоновая проверка (так штатно работают PicoClaw и nanobot), при не худшей полноте реакции. Ориентир по расчёту против проверки раз в 30 минут — примерно в 1,8 раза меньше вызовов при 10 командах в сутки и в 2,35 раза при 5,6 команды в сутки (средний пользователь); против лучших настроек PicoClaw исход заранее неизвестен. Выигрыш уменьшается с ростом активности (по тому же расчёту при 30 командах в сутки — около 1,3 раза), поэтому отдельно определяется точка безубыточности: при какой частоте команд и событий фильтр перестаёт выигрывать</w:t>
            </w:r>
          </w:p>
        </w:tc>
        <w:tc>
          <w:tcPr>
            <w:tcW w:type="dxa" w:w="2816"/>
          </w:tcPr>
          <w:p>
            <w:pPr>
              <w:spacing w:after="0"/>
            </w:pPr>
            <w:r>
              <w:rPr>
                <w:sz w:val="20"/>
              </w:rPr>
              <w:t>рабочий день на записях домов CASAS, не использованных при настройке фильтра; доверительные интервалы отношения вызовов</w:t>
            </w:r>
          </w:p>
        </w:tc>
      </w:tr>
      <w:tr>
        <w:tc>
          <w:tcPr>
            <w:tcW w:type="dxa" w:w="1093"/>
          </w:tcPr>
          <w:p>
            <w:pPr>
              <w:spacing w:after="0"/>
            </w:pPr>
            <w:r>
              <w:rPr>
                <w:sz w:val="20"/>
              </w:rPr>
              <w:t>H2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b/>
                <w:sz w:val="20"/>
              </w:rPr>
              <w:t>Контекст оборудования.</w:t>
            </w:r>
            <w:r>
              <w:rPr>
                <w:sz w:val="20"/>
              </w:rPr>
              <w:t xml:space="preserve"> Несколько универсальных инструментов с запросом состояния по необходимости дают меньше входных токенов, чем отдельный инструмент на каждое свойство устройства и снимок оборудования в каждом запросе, без снижения доли успешно выполненных команд. Ориентир статического подсчёта каталога — в 1,4 раза для одной комнаты (10 свойств) и в 3,4 раза для 20 комнат (200 свойств)</w:t>
            </w:r>
          </w:p>
        </w:tc>
        <w:tc>
          <w:tcPr>
            <w:tcW w:type="dxa" w:w="2816"/>
          </w:tcPr>
          <w:p>
            <w:pPr>
              <w:spacing w:after="0"/>
            </w:pPr>
            <w:r>
              <w:rPr>
                <w:sz w:val="20"/>
              </w:rPr>
              <w:t>набор команд к устройствам комнаты по образцу бенчмарков умного дома [7, 8]; сравнение представлений контекста</w:t>
            </w:r>
          </w:p>
        </w:tc>
      </w:tr>
      <w:tr>
        <w:tc>
          <w:tcPr>
            <w:tcW w:type="dxa" w:w="1093"/>
          </w:tcPr>
          <w:p>
            <w:pPr>
              <w:spacing w:after="0"/>
            </w:pPr>
            <w:r>
              <w:rPr>
                <w:sz w:val="20"/>
              </w:rPr>
              <w:t>H3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b/>
                <w:sz w:val="20"/>
              </w:rPr>
              <w:t>Контекст пользователя.</w:t>
            </w:r>
            <w:r>
              <w:rPr>
                <w:sz w:val="20"/>
              </w:rPr>
              <w:t xml:space="preserve"> Скрытие старых результатов вызовов инструментов в сочетании со скользящим окном истории не уступает полной истории по точности ответов и дешевле её, причём выигрыш растёт с активностью пользователя (по расчёту при 10 запросах в сутки стратегии почти равны, при 200 — разница около 4,7 раза)</w:t>
            </w:r>
          </w:p>
        </w:tc>
        <w:tc>
          <w:tcPr>
            <w:tcW w:type="dxa" w:w="2816"/>
          </w:tcPr>
          <w:p>
            <w:pPr>
              <w:spacing w:after="0"/>
            </w:pPr>
            <w:r>
              <w:rPr>
                <w:sz w:val="20"/>
              </w:rPr>
              <w:t>контрольные вопросы по истории на реальной модели; приём скрытия взят из [9]</w:t>
            </w:r>
          </w:p>
        </w:tc>
      </w:tr>
      <w:tr>
        <w:tc>
          <w:tcPr>
            <w:tcW w:type="dxa" w:w="1093"/>
          </w:tcPr>
          <w:p>
            <w:pPr>
              <w:spacing w:after="0"/>
            </w:pPr>
            <w:r>
              <w:rPr>
                <w:sz w:val="20"/>
              </w:rPr>
              <w:t>H4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b/>
                <w:sz w:val="20"/>
              </w:rPr>
              <w:t>Ресурсы платы.</w:t>
            </w:r>
            <w:r>
              <w:rPr>
                <w:sz w:val="20"/>
              </w:rPr>
              <w:t xml:space="preserve"> Рост памяти агента за 8 часов работы не превышает 1 МиБ/ч (проверка эквивалентности, а не «тренд незначим»), а сама память не больше, чем у PicoClaw на той же плате; дополнительно — какие из систем (наш агент, PicoClaw, nanobot) выдерживают 8 часов работы при ограничении памяти 256 МиБ (агент и серверы датчиков, без детектора камеры)</w:t>
            </w:r>
          </w:p>
        </w:tc>
        <w:tc>
          <w:tcPr>
            <w:tcW w:type="dxa" w:w="2816"/>
          </w:tcPr>
          <w:p>
            <w:pPr>
              <w:spacing w:after="0"/>
            </w:pPr>
            <w:r>
              <w:rPr>
                <w:sz w:val="20"/>
              </w:rPr>
              <w:t>замер потребления памяти и загрузки процессора на плате в течение прогона</w:t>
            </w:r>
          </w:p>
        </w:tc>
      </w:tr>
      <w:tr>
        <w:tc>
          <w:tcPr>
            <w:tcW w:type="dxa" w:w="1093"/>
          </w:tcPr>
          <w:p>
            <w:pPr>
              <w:spacing w:after="0"/>
            </w:pPr>
            <w:r>
              <w:rPr>
                <w:sz w:val="20"/>
              </w:rPr>
              <w:t>H5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b/>
                <w:sz w:val="20"/>
              </w:rPr>
              <w:t>Камера.</w:t>
            </w:r>
            <w:r>
              <w:rPr>
                <w:sz w:val="20"/>
              </w:rPr>
              <w:t xml:space="preserve"> Текстовая сводка детектора объектов, работающего на плате, вместо кадра сокращает входные токены и трафик в десятки–сотни раз; оценивается, на какой доле вопросов к сцене сводка уступает кадру по точности и при какой частоте вопросов выгоднее «кадр по запросу»</w:t>
            </w:r>
          </w:p>
        </w:tc>
        <w:tc>
          <w:tcPr>
            <w:tcW w:type="dxa" w:w="2816"/>
          </w:tcPr>
          <w:p>
            <w:pPr>
              <w:spacing w:after="0"/>
            </w:pPr>
            <w:r>
              <w:rPr>
                <w:sz w:val="20"/>
              </w:rPr>
              <w:t>около 150 вопросов к сцене на плате с USB-камерой в трёх режимах: кадр всегда, сводка, кадр по запросу; сцены без людей (кадры уходят зарубежному провайдеру модели)</w:t>
            </w:r>
          </w:p>
        </w:tc>
      </w:tr>
      <w:tr>
        <w:tc>
          <w:tcPr>
            <w:tcW w:type="dxa" w:w="1093"/>
          </w:tcPr>
          <w:p>
            <w:pPr>
              <w:spacing w:after="0"/>
            </w:pPr>
            <w:r>
              <w:rPr>
                <w:sz w:val="20"/>
              </w:rPr>
              <w:t>H6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b/>
                <w:sz w:val="20"/>
              </w:rPr>
              <w:t>Робот: сводки вместо сырых данных.</w:t>
            </w:r>
            <w:r>
              <w:rPr>
                <w:sz w:val="20"/>
              </w:rPr>
              <w:t xml:space="preserve"> Компактный адаптер робота (несколько инструментов, сводки состояния, события «доехал / прервано / препятствие», кадр только по запросу) требует в разы меньше входных токенов и трафика на команду, чем готовый ros-mcp-server, при той же доле выполненных заданий. Ориентир пробных замеров с идеальной моделью: в 5,6–11 раз меньше входных токенов на команду и в 50–70 раз меньше трафика на поездку</w:t>
            </w:r>
          </w:p>
        </w:tc>
        <w:tc>
          <w:tcPr>
            <w:tcW w:type="dxa" w:w="2816"/>
          </w:tcPr>
          <w:p>
            <w:pPr>
              <w:spacing w:after="0"/>
            </w:pPr>
            <w:r>
              <w:rPr>
                <w:sz w:val="20"/>
              </w:rPr>
              <w:t>рабочий день робота (обход по расписанию, команды пользователя, события) в ускоренном режиме симулятора; сравнение двух адаптеров на одном агенте</w:t>
            </w:r>
          </w:p>
        </w:tc>
      </w:tr>
      <w:tr>
        <w:tc>
          <w:tcPr>
            <w:tcW w:type="dxa" w:w="1093"/>
          </w:tcPr>
          <w:p>
            <w:pPr>
              <w:spacing w:after="0"/>
            </w:pPr>
            <w:r>
              <w:rPr>
                <w:sz w:val="20"/>
              </w:rPr>
              <w:t>H7</w:t>
            </w:r>
          </w:p>
        </w:tc>
        <w:tc>
          <w:tcPr>
            <w:tcW w:type="dxa" w:w="5616"/>
          </w:tcPr>
          <w:p>
            <w:pPr>
              <w:spacing w:after="0"/>
            </w:pPr>
            <w:r>
              <w:rPr>
                <w:b/>
                <w:sz w:val="20"/>
              </w:rPr>
              <w:t>Работа на предельно слабом оборудовании.</w:t>
            </w:r>
            <w:r>
              <w:rPr>
                <w:sz w:val="20"/>
              </w:rPr>
              <w:t xml:space="preserve"> Разработанный агент сохраняет работоспособность и экономность при более жёстких ограничениях памяти, процессора и сети, чем аналоги: строится «карта выживаемости» — при каких лимитах (память 1024→32 МиБ, процессор 4 ядра → 10 % ядра, сеть от локальной до EDGE с потерями, медленная карта памяти) каждый агент ещё выполняет рабочий день и как растут задержка и затраты</w:t>
            </w:r>
          </w:p>
        </w:tc>
        <w:tc>
          <w:tcPr>
            <w:tcW w:type="dxa" w:w="2816"/>
          </w:tcPr>
          <w:p>
            <w:pPr>
              <w:spacing w:after="0"/>
            </w:pPr>
            <w:r>
              <w:rPr>
                <w:sz w:val="20"/>
              </w:rPr>
              <w:t>лестница ограничений в виртуальной плате (cgroup v2, tc netem, io.max) для разработанного агента, PicoClaw и nanobot; калибровка одной-двух ступеней на реальной плате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4E8C"/>
        </w:rPr>
        <w:t>6. Как измеряется «работа во времени»</w:t>
      </w:r>
    </w:p>
    <w:p>
      <w:r>
        <w:t xml:space="preserve">Главный критерий работы — </w:t>
      </w:r>
      <w:r>
        <w:rPr>
          <w:b/>
        </w:rPr>
        <w:t>производительность и экономность системы во времени</w:t>
      </w:r>
      <w:r>
        <w:t>: сколько вызовов модели, токенов, рублей, трафика, памяти и процессорного времени тратит агент за рабочий день и как быстро он реагирует. Надёжность в цель не входит; безопасность команд исполнительным устройствам — только обязательное ограничение.</w:t>
      </w:r>
    </w:p>
    <w:p>
      <w:pPr>
        <w:pStyle w:val="ListBullet"/>
      </w:pPr>
      <w:r>
        <w:rPr>
          <w:b/>
        </w:rPr>
        <w:t>Сценарий дня.</w:t>
      </w:r>
      <w:r>
        <w:t xml:space="preserve"> Команды пользователя задаются по данным исследований использования умных колонок: в среднем 2,6; 5,6 и 30 команд в сутки в кластерах лёгких, средних пользователей и «суперпользователей» (88 домов; медиана по всем домам — 4,1 команды в сутки) [4]. События датчиков — по записям реальных домов CASAS [5, 25].</w:t>
      </w:r>
    </w:p>
    <w:p>
      <w:pPr>
        <w:pStyle w:val="ListBullet"/>
      </w:pPr>
      <w:r>
        <w:rPr>
          <w:b/>
        </w:rPr>
        <w:t>Два режима прогона:</w:t>
      </w:r>
      <w:r>
        <w:t xml:space="preserve">     </w:t>
      </w:r>
      <w:r>
        <w:t xml:space="preserve">       </w:t>
      </w:r>
    </w:p>
    <w:p>
      <w:pPr>
        <w:pStyle w:val="ListBullet"/>
      </w:pPr>
      <w:r>
        <w:rPr>
          <w:b/>
        </w:rPr>
        <w:t>ускоренный и бесплатный</w:t>
      </w:r>
      <w:r>
        <w:t xml:space="preserve"> — на ноутбуке, с виртуальными часами и записанными ответами модели; нужен для сравнения многих вариантов;</w:t>
      </w:r>
    </w:p>
    <w:p>
      <w:pPr>
        <w:pStyle w:val="ListBullet"/>
      </w:pPr>
      <w:r>
        <w:rPr>
          <w:b/>
        </w:rPr>
        <w:t>реальный</w:t>
      </w:r>
      <w:r>
        <w:t xml:space="preserve"> — 8 часов на плате с настоящей моделью (окно рабочего дня 14:00–22:00 по сценарию; «суточные» величины в этом режиме относятся к этому окну, в ускоренном режиме — к активному окну 07:00–23:00).</w:t>
      </w:r>
    </w:p>
    <w:p>
      <w:pPr>
        <w:pStyle w:val="ListBullet"/>
      </w:pPr>
      <w:r>
        <w:rPr>
          <w:b/>
        </w:rPr>
        <w:t>Метрики за сутки:</w:t>
      </w:r>
      <w:r>
        <w:t xml:space="preserve"> число вызовов модели; входные и выходные токены; расходы в рублях (по тарифам, зафиксированным на дату экспериментов); трафик; задержка «событие → действие» (95-й процентиль); потребление памяти и загрузка процессора платы во времени; энергопотребление (если есть датчик мощности); полнота реакции на значимые события; число небезопасных команд (должно быть 0).</w:t>
      </w:r>
    </w:p>
    <w:p>
      <w:pPr>
        <w:pStyle w:val="ListBullet"/>
      </w:pPr>
      <w:r>
        <w:rPr>
          <w:b/>
        </w:rPr>
        <w:t>С чем сравнивается:</w:t>
      </w:r>
      <w:r>
        <w:t xml:space="preserve"> агент «только с периодической проверкой» — штатная политика PicoClaw и nanobot, реализованная на нашем коде (простой базовый вариант обязателен при совместной оценке агентов по качеству и стоимости [12]); PicoClaw в лучшей штатной настройке — на полном рабочем дне; nanobot — по фоновому потреблению и памяти; варианты разработанного агента с отключёнными механизмами (для оценки вклада каждого). У всех систем одна модель, одни MCP-серверы и один сценарий дня.</w:t>
      </w:r>
    </w:p>
    <w:p>
      <w:pPr>
        <w:pStyle w:val="ListBullet"/>
      </w:pPr>
      <w:r>
        <w:rPr>
          <w:b/>
        </w:rPr>
        <w:t>Статистика:</w:t>
      </w:r>
      <w:r>
        <w:t xml:space="preserve"> парные бутстреп-доверительные интервалы по трассам дня, проверка не меньшей эффективности («не хуже») с допуском, пороги фиксируются до прогонов [13].</w:t>
      </w:r>
    </w:p>
    <w:p>
      <w:pPr>
        <w:pStyle w:val="Heading2"/>
      </w:pPr>
      <w:r>
        <w:rPr>
          <w:color w:val="1F4E8C"/>
        </w:rPr>
        <w:t>7. Оборудование и стенд</w:t>
      </w:r>
    </w:p>
    <w:p>
      <w:pPr>
        <w:pStyle w:val="ListBullet"/>
      </w:pPr>
      <w:r>
        <w:rPr>
          <w:b/>
        </w:rPr>
        <w:t>Сейчас (MacBook):</w:t>
      </w:r>
      <w:r>
        <w:t xml:space="preserve">     </w:t>
      </w:r>
      <w:r>
        <w:t xml:space="preserve">       </w:t>
      </w:r>
    </w:p>
    <w:p>
      <w:pPr>
        <w:pStyle w:val="ListBullet"/>
      </w:pPr>
      <w:r>
        <w:t>виртуальная машина Linux с ограничением числа ядер и объёма памяти до уровня одноплатного компьютера;</w:t>
      </w:r>
    </w:p>
    <w:p>
      <w:pPr>
        <w:pStyle w:val="ListBullet"/>
      </w:pPr>
      <w:r>
        <w:t>эмулятор помещения вместо датчиков;</w:t>
      </w:r>
    </w:p>
    <w:p>
      <w:pPr>
        <w:pStyle w:val="ListBullet"/>
      </w:pPr>
      <w:r>
        <w:t>модель-заглушка для бесплатной отладки (0 ₽);</w:t>
      </w:r>
    </w:p>
    <w:p>
      <w:pPr>
        <w:pStyle w:val="ListBullet"/>
      </w:pPr>
      <w:r>
        <w:t>вторая виртуальная машина — симулятор робота (ROS 2 Jazzy, Gazebo Harmonic, TurtleBot3, Nav2), рабочий день робота проигрывается в ускоренном режиме (примерно в 2,5 раза быстрее реального времени);</w:t>
      </w:r>
    </w:p>
    <w:p>
      <w:pPr>
        <w:pStyle w:val="ListBullet"/>
      </w:pPr>
      <w:r>
        <w:t>«лестница ограничений» той же виртуальной платы: память до 32 МиБ, процессор до 10 % одного ядра, эмуляция плохой сети и медленного диска.</w:t>
      </w:r>
    </w:p>
    <w:p>
      <w:r>
        <w:t xml:space="preserve">     Реальная модель — после получения ключа RouterAI.   </w:t>
      </w:r>
    </w:p>
    <w:p>
      <w:pPr>
        <w:pStyle w:val="ListBullet"/>
      </w:pPr>
      <w:r>
        <w:rPr>
          <w:b/>
        </w:rPr>
        <w:t>Плата:</w:t>
      </w:r>
      <w:r>
        <w:t xml:space="preserve"> кафедральный NVIDIA Jetson Nano. Нужно уточнить модификацию: выпускались версии с 4 ГБ и 2 ГБ памяти, версии с 1 ГБ не существует. Если на кафедре окажется более новый Jetson Orin Nano (4 или 8 ГБ, современная система), описанные ниже ограничения старой системы снимаются.     </w:t>
      </w:r>
      <w:r>
        <w:t xml:space="preserve">       </w:t>
      </w:r>
    </w:p>
    <w:p>
      <w:pPr>
        <w:pStyle w:val="ListBullet"/>
      </w:pPr>
      <w:r>
        <w:t>У версии на 4 ГБ есть встроенный датчик мощности (INA3221; у версии на 2 ГБ его нет). Он занижает мощность до 50 %, поэтому энергию за день по нему можно считать только после калибровки по внешнему измерителю [14]. Графический процессор для детектора камеры есть у обеих версий.</w:t>
      </w:r>
    </w:p>
    <w:p>
      <w:pPr>
        <w:pStyle w:val="ListBullet"/>
      </w:pPr>
      <w:r>
        <w:t xml:space="preserve">Операционная система на плате устаревшая (Ubuntu 18.04). Статические бинарники на Go (наш агент, PicoClaw) по требованиям должны на ней запускаться; на самой плате это ещё не проверено. OpenClaw и NanoClaw штатно не запускаются: им нужен Node.js ≥ 24.16 и ≥ 22 соответственно, а официальные сборки Node.js требуют glibc ≥ 2.28 и ядро ≥ 4.18. Python-серверам MCP нужен Python ≥ 3.10 (на плате он ставится отдельно, например через uv); nanobot 0.3.5 ставится только со сборкой зависимости tiktoken из исходников. Это довод в пользу Go для агента (глава 2). Плата окончательно выбирается по дымовому тесту в октябре: </w:t>
      </w:r>
      <w:r>
        <w:rPr>
          <w:rFonts w:ascii="Menlo" w:hAnsi="Menlo"/>
          <w:sz w:val="19"/>
        </w:rPr>
        <w:t>free -h</w:t>
      </w:r>
      <w:r>
        <w:t>, запуск агента, PicoClaw, nanobot и детектора, доступ к routerai.ru из сети ИТМО.</w:t>
      </w:r>
    </w:p>
    <w:p>
      <w:pPr>
        <w:pStyle w:val="ListBullet"/>
      </w:pPr>
      <w:r>
        <w:t>Если плата недоступна или её ресурсов недостаточно, альтернатива — Raspberry Pi 5 с 4 ГБ памяти.</w:t>
      </w:r>
    </w:p>
    <w:p>
      <w:pPr>
        <w:pStyle w:val="ListBullet"/>
      </w:pPr>
      <w:r>
        <w:rPr>
          <w:b/>
        </w:rPr>
        <w:t>Периферия:</w:t>
      </w:r>
      <w:r>
        <w:t xml:space="preserve"> USB-камера, датчик температуры (DS18B20 или BME280), датчик движения, реле со светодиодом.</w:t>
      </w:r>
    </w:p>
    <w:p>
      <w:pPr>
        <w:pStyle w:val="ListBullet"/>
      </w:pPr>
      <w:r>
        <w:rPr>
          <w:b/>
        </w:rPr>
        <w:t>Бюджет на модель:</w:t>
      </w:r>
      <w:r>
        <w:t xml:space="preserve"> по расчёту около 1,3–1,5 тыс. ₽ на основные эксперименты при gpt-4o-mini как основной модели, с запасом ×1,5 — около 1,9–2,3 тыс. ₽ (если основной станет gpt-5-mini — около 3,8 тыс. ₽). RouterAI поддерживает командные аккаунты с ролями и лимитами расходов [18]; по словам руководителя, оплату может взять на себя факультет.</w:t>
      </w:r>
    </w:p>
    <w:p>
      <w:pPr>
        <w:pStyle w:val="Heading2"/>
      </w:pPr>
      <w:r>
        <w:rPr>
          <w:color w:val="1F4E8C"/>
        </w:rPr>
        <w:t>8. План по срокам</w:t>
      </w:r>
    </w:p>
    <w:p>
      <w:r>
        <w:rPr>
          <w:color w:val="5B6170"/>
          <w:sz w:val="20"/>
        </w:rPr>
        <w:t>Ориентиры взяты из консультации по ГИА (ПИиКТ). На консультации их назвали примерными; окончательные даты будут объявлены позже.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7642"/>
      </w:tblGrid>
      <w:tr>
        <w:tc>
          <w:tcPr>
            <w:tcW w:type="dxa" w:w="1883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Срок</w:t>
            </w:r>
          </w:p>
        </w:tc>
        <w:tc>
          <w:tcPr>
            <w:tcW w:type="dxa" w:w="7642"/>
            <w:shd w:val="clear" w:color="auto" w:fill="F3F5F8"/>
          </w:tcPr>
          <w:p>
            <w:pPr>
              <w:spacing w:after="0"/>
            </w:pPr>
            <w:r>
              <w:rPr>
                <w:b/>
                <w:sz w:val="20"/>
              </w:rPr>
              <w:t>Что готово</w:t>
            </w:r>
          </w:p>
        </w:tc>
      </w:tr>
      <w:tr>
        <w:tc>
          <w:tcPr>
            <w:tcW w:type="dxa" w:w="1883"/>
          </w:tcPr>
          <w:p>
            <w:pPr>
              <w:spacing w:after="0"/>
            </w:pPr>
            <w:r>
              <w:rPr>
                <w:sz w:val="20"/>
              </w:rPr>
              <w:t>октябрь — ноябрь 2026</w:t>
            </w:r>
          </w:p>
        </w:tc>
        <w:tc>
          <w:tcPr>
            <w:tcW w:type="dxa" w:w="7642"/>
          </w:tcPr>
          <w:p>
            <w:pPr>
              <w:spacing w:after="0"/>
            </w:pPr>
            <w:r>
              <w:rPr>
                <w:sz w:val="20"/>
              </w:rPr>
              <w:t>закрепление за руководителем (на слайде 15–30 октября); тема в ИСУ / My.ITMO (на слайде до 30 ноября, зависит от открытия сервиса); дымовой тест кафедрального Jetson Nano и решение о плате до конца октября (чтобы при необходимости успеть купить Raspberry Pi 5); заявка на ключ RouterAI; каркас агента, MCP-серверы и эмулятор помещения на ноутбуке</w:t>
            </w:r>
          </w:p>
        </w:tc>
      </w:tr>
      <w:tr>
        <w:tc>
          <w:tcPr>
            <w:tcW w:type="dxa" w:w="1883"/>
          </w:tcPr>
          <w:p>
            <w:pPr>
              <w:spacing w:after="0"/>
            </w:pPr>
            <w:r>
              <w:rPr>
                <w:sz w:val="20"/>
              </w:rPr>
              <w:t>декабрь 2026</w:t>
            </w:r>
          </w:p>
        </w:tc>
        <w:tc>
          <w:tcPr>
            <w:tcW w:type="dxa" w:w="7642"/>
          </w:tcPr>
          <w:p>
            <w:pPr>
              <w:spacing w:after="0"/>
            </w:pPr>
            <w:r>
              <w:rPr>
                <w:sz w:val="20"/>
              </w:rPr>
              <w:t>стенд «рабочего дня», ускоренные прогоны, первые сравнения механизмов; ключ RouterAI</w:t>
            </w:r>
          </w:p>
        </w:tc>
      </w:tr>
      <w:tr>
        <w:tc>
          <w:tcPr>
            <w:tcW w:type="dxa" w:w="1883"/>
          </w:tcPr>
          <w:p>
            <w:pPr>
              <w:spacing w:after="0"/>
            </w:pPr>
            <w:r>
              <w:rPr>
                <w:sz w:val="20"/>
              </w:rPr>
              <w:t>к 15 января 2027</w:t>
            </w:r>
          </w:p>
        </w:tc>
        <w:tc>
          <w:tcPr>
            <w:tcW w:type="dxa" w:w="7642"/>
          </w:tcPr>
          <w:p>
            <w:pPr>
              <w:spacing w:after="0"/>
            </w:pPr>
            <w:r>
              <w:rPr>
                <w:sz w:val="20"/>
              </w:rPr>
              <w:t>глава 1 (обзор, аналоги, пробел), цель и задачи</w:t>
            </w:r>
          </w:p>
        </w:tc>
      </w:tr>
      <w:tr>
        <w:tc>
          <w:tcPr>
            <w:tcW w:type="dxa" w:w="1883"/>
          </w:tcPr>
          <w:p>
            <w:pPr>
              <w:spacing w:after="0"/>
            </w:pPr>
            <w:r>
              <w:rPr>
                <w:sz w:val="20"/>
              </w:rPr>
              <w:t>январь — февраль 2027</w:t>
            </w:r>
          </w:p>
        </w:tc>
        <w:tc>
          <w:tcPr>
            <w:tcW w:type="dxa" w:w="7642"/>
          </w:tcPr>
          <w:p>
            <w:pPr>
              <w:spacing w:after="0"/>
            </w:pPr>
            <w:r>
              <w:rPr>
                <w:sz w:val="20"/>
              </w:rPr>
              <w:t>перенос на плату, подключение датчиков и камеры; реальные 8-часовые прогоны сразу тройками «наш агент / периодическая проверка / PicoClaw» на одних и тех же сценариях дня</w:t>
            </w:r>
          </w:p>
        </w:tc>
      </w:tr>
      <w:tr>
        <w:tc>
          <w:tcPr>
            <w:tcW w:type="dxa" w:w="1883"/>
          </w:tcPr>
          <w:p>
            <w:pPr>
              <w:spacing w:after="0"/>
            </w:pPr>
            <w:r>
              <w:rPr>
                <w:sz w:val="20"/>
              </w:rPr>
              <w:t>начало марта 2027</w:t>
            </w:r>
          </w:p>
        </w:tc>
        <w:tc>
          <w:tcPr>
            <w:tcW w:type="dxa" w:w="7642"/>
          </w:tcPr>
          <w:p>
            <w:pPr>
              <w:spacing w:after="0"/>
            </w:pPr>
            <w:r>
              <w:rPr>
                <w:sz w:val="20"/>
              </w:rPr>
              <w:t>проверка 1: главы 1–2 (обзор; методика и архитектура)</w:t>
            </w:r>
          </w:p>
        </w:tc>
      </w:tr>
      <w:tr>
        <w:tc>
          <w:tcPr>
            <w:tcW w:type="dxa" w:w="1883"/>
          </w:tcPr>
          <w:p>
            <w:pPr>
              <w:spacing w:after="0"/>
            </w:pPr>
            <w:r>
              <w:rPr>
                <w:sz w:val="20"/>
              </w:rPr>
              <w:t>март — апрель 2027</w:t>
            </w:r>
          </w:p>
        </w:tc>
        <w:tc>
          <w:tcPr>
            <w:tcW w:type="dxa" w:w="7642"/>
          </w:tcPr>
          <w:p>
            <w:pPr>
              <w:spacing w:after="0"/>
            </w:pPr>
            <w:r>
              <w:rPr>
                <w:sz w:val="20"/>
              </w:rPr>
              <w:t>добор прогонов при большом разбросе, анализ, глава 3, полный текст (проверка 2 — ориентировочно середина апреля, на слайде — до 30 апреля)</w:t>
            </w:r>
          </w:p>
        </w:tc>
      </w:tr>
      <w:tr>
        <w:tc>
          <w:tcPr>
            <w:tcW w:type="dxa" w:w="1883"/>
          </w:tcPr>
          <w:p>
            <w:pPr>
              <w:spacing w:after="0"/>
            </w:pPr>
            <w:r>
              <w:rPr>
                <w:sz w:val="20"/>
              </w:rPr>
              <w:t>к 15 мая 2027</w:t>
            </w:r>
          </w:p>
        </w:tc>
        <w:tc>
          <w:tcPr>
            <w:tcW w:type="dxa" w:w="7642"/>
          </w:tcPr>
          <w:p>
            <w:pPr>
              <w:spacing w:after="0"/>
            </w:pPr>
            <w:r>
              <w:rPr>
                <w:sz w:val="20"/>
              </w:rPr>
              <w:t>текст готов; 20–30 мая — предзащита; защита ориентировочно 3–20 июня; за 14 дней до защиты проверка на заимствования уже пройдена (отправка на проверку — с 5 мая)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4E8C"/>
        </w:rPr>
        <w:t>9. Что нужно</w:t>
      </w:r>
    </w:p>
    <w:p>
      <w:pPr>
        <w:pStyle w:val="ListBullet"/>
      </w:pPr>
      <w:r>
        <w:rPr>
          <w:b/>
        </w:rPr>
        <w:t>От руководителя или факультета:</w:t>
      </w:r>
      <w:r>
        <w:t xml:space="preserve">     </w:t>
      </w:r>
      <w:r>
        <w:t xml:space="preserve">       </w:t>
      </w:r>
    </w:p>
    <w:p>
      <w:pPr>
        <w:pStyle w:val="ListBullet"/>
      </w:pPr>
      <w:r>
        <w:t>доступ к RouterAI (командный аккаунт с лимитом);</w:t>
      </w:r>
    </w:p>
    <w:p>
      <w:pPr>
        <w:pStyle w:val="ListBullet"/>
      </w:pPr>
      <w:r>
        <w:t>доступ к Jetson Nano и уточнение его модификации;</w:t>
      </w:r>
    </w:p>
    <w:p>
      <w:pPr>
        <w:pStyle w:val="ListBullet"/>
      </w:pPr>
      <w:r>
        <w:t>при возможности — датчики, камера, реле;</w:t>
      </w:r>
    </w:p>
    <w:p>
      <w:pPr>
        <w:pStyle w:val="ListBullet"/>
      </w:pPr>
      <w:r>
        <w:t>согласование объёма работы и формулировки цели.</w:t>
      </w:r>
    </w:p>
    <w:p>
      <w:pPr>
        <w:pStyle w:val="ListBullet"/>
      </w:pPr>
      <w:r>
        <w:rPr>
          <w:b/>
        </w:rPr>
        <w:t>Программное обеспечение (небольшие загрузки):</w:t>
      </w:r>
      <w:r>
        <w:t xml:space="preserve">     </w:t>
      </w:r>
      <w:r>
        <w:t xml:space="preserve">       </w:t>
      </w:r>
    </w:p>
    <w:p>
      <w:pPr>
        <w:pStyle w:val="ListBullet"/>
      </w:pPr>
      <w:r>
        <w:t>компилятор Go;</w:t>
      </w:r>
    </w:p>
    <w:p>
      <w:pPr>
        <w:pStyle w:val="ListBullet"/>
      </w:pPr>
      <w:r>
        <w:t>Python-пакет MCP;</w:t>
      </w:r>
    </w:p>
    <w:p>
      <w:pPr>
        <w:pStyle w:val="ListBullet"/>
      </w:pPr>
      <w:r>
        <w:t>образ Linux для эмуляции;</w:t>
      </w:r>
    </w:p>
    <w:p>
      <w:pPr>
        <w:pStyle w:val="ListBullet"/>
      </w:pPr>
      <w:r>
        <w:t>исполняемый файл PicoClaw и Python-пакет nanobot для сравнения, MQTT-брокер для доставки им событий;</w:t>
      </w:r>
    </w:p>
    <w:p>
      <w:pPr>
        <w:pStyle w:val="ListBullet"/>
      </w:pPr>
      <w:r>
        <w:t>детектор объектов для камеры и его веса.</w:t>
      </w:r>
    </w:p>
    <w:p>
      <w:pPr>
        <w:pStyle w:val="Heading2"/>
      </w:pPr>
      <w:r>
        <w:rPr>
          <w:color w:val="1F4E8C"/>
        </w:rPr>
        <w:t>Ключевые источники</w:t>
      </w:r>
    </w:p>
    <w:p>
      <w:pPr>
        <w:ind w:left="510" w:hanging="397"/>
      </w:pPr>
      <w:r>
        <w:t xml:space="preserve">1. </w:t>
      </w:r>
      <w:r>
        <w:t>Edge Intelligence: Paving the Last Mile of Artificial Intelligence With Edge Computing / Z. Zhou, X. Chen, E. Li [et al.] // Proceedings of the IEEE. – 2019. – Vol. 107, № 8. – P. 1738–1762. – DOI 10.1109/JPROC.2019.2918951.</w:t>
      </w:r>
    </w:p>
    <w:p>
      <w:pPr>
        <w:ind w:left="510" w:hanging="397"/>
      </w:pPr>
      <w:r>
        <w:t xml:space="preserve">2. </w:t>
      </w:r>
      <w:r>
        <w:t>Wooldridge, M. Intelligent agents: theory and practice / M. Wooldridge, N. R. Jennings // The Knowledge Engineering Review. – 1995. – Vol. 10, № 2. – P. 115–152. – DOI 10.1017/S0269888900008122.</w:t>
      </w:r>
    </w:p>
    <w:p>
      <w:pPr>
        <w:ind w:left="510" w:hanging="397"/>
      </w:pPr>
      <w:r>
        <w:t xml:space="preserve">3. </w:t>
      </w:r>
      <w:r>
        <w:t>Brooks, R. A. A robust layered control system for a mobile robot / R. A. Brooks // IEEE Journal on Robotics and Automation. – 1986. – Vol. 2, № 1. – P. 14–23. – DOI 10.1109/JRA.1986.1087032.</w:t>
      </w:r>
    </w:p>
    <w:p>
      <w:pPr>
        <w:ind w:left="510" w:hanging="397"/>
      </w:pPr>
      <w:r>
        <w:t xml:space="preserve">4. </w:t>
      </w:r>
      <w:r>
        <w:t>Understanding the Long-Term Use of Smart Speaker Assistants / F. Bentley, C. Luvogt, M. Silverman [et al.] // Proceedings of the ACM on Interactive, Mobile, Wearable and Ubiquitous Technologies. – 2018. – Vol. 2, № 3. – Art. 91. – P. 1–24. – DOI 10.1145/3264901.</w:t>
      </w:r>
    </w:p>
    <w:p>
      <w:pPr>
        <w:ind w:left="510" w:hanging="397"/>
      </w:pPr>
      <w:r>
        <w:t xml:space="preserve">5. </w:t>
      </w:r>
      <w:r>
        <w:t>CASAS: A Smart Home in a Box / D. J. Cook, A. S. Crandall, B. L. Thomas, N. C. Krishnan // Computer. – 2013. – Vol. 46, № 7. – P. 62–69. – DOI 10.1109/MC.2012.328.</w:t>
      </w:r>
    </w:p>
    <w:p>
      <w:pPr>
        <w:ind w:left="510" w:hanging="397"/>
      </w:pPr>
      <w:r>
        <w:t xml:space="preserve">6. </w:t>
      </w:r>
      <w:r>
        <w:t>IoT-MCP: Bridging LLMs and IoT Systems Through Model Context Protocol / N. Yang, G. Lyu, M. Ma [et al.] // Proceedings of the ACM Workshop on Wireless Network Testbeds, Experimental evaluation &amp; Characterization (WiNTECH '25). – 2025. – P. 73–80. – DOI 10.1145/3737895.3768303.</w:t>
      </w:r>
    </w:p>
    <w:p>
      <w:pPr>
        <w:ind w:left="510" w:hanging="397"/>
      </w:pPr>
      <w:r>
        <w:t xml:space="preserve">7. </w:t>
      </w:r>
      <w:r>
        <w:t>SimuHome: A Temporal- and Environment-Aware Benchmark for Smart Home LLM Agents / G. Seo, J. Yang, J. Pyo [et al.]. – Текст : электронный // International Conference on Learning Representations (ICLR 2026). – 2026. – URL: https://openreview.net/forum?id=LCS1WsGvha (дата обращения: 06.10.2026).</w:t>
      </w:r>
    </w:p>
    <w:p>
      <w:pPr>
        <w:ind w:left="510" w:hanging="397"/>
      </w:pPr>
      <w:r>
        <w:t xml:space="preserve">8. </w:t>
      </w:r>
      <w:r>
        <w:t>HomeBench: Evaluating LLMs in Smart Homes with Valid and Invalid Instructions Across Single and Multiple Devices / S. Li, Y. Guo, J. Yao [et al.] // Proceedings of the 63rd Annual Meeting of the Association for Computational Linguistics (Volume 1: Long Papers). – 2025. – P. 12230–12250. – DOI 10.18653/v1/2025.acl-long.597.</w:t>
      </w:r>
    </w:p>
    <w:p>
      <w:pPr>
        <w:ind w:left="510" w:hanging="397"/>
      </w:pPr>
      <w:r>
        <w:t xml:space="preserve">9. </w:t>
      </w:r>
      <w:r>
        <w:t>The Complexity Trap: Simple Observation Masking Is as Efficient as LLM Summarization for Agent Context Management / T. Lindenbauer, I. Slinko, L. Felder [et al.]. – Текст : электронный // 4th Deep Learning for Code Workshop (DL4C) at NeurIPS 2025. – 2025. – URL: https://openreview.net/forum?id=OHVzruJl5k (дата обращения: 06.10.2026).</w:t>
      </w:r>
    </w:p>
    <w:p>
      <w:pPr>
        <w:ind w:left="510" w:hanging="397"/>
      </w:pPr>
      <w:r>
        <w:t xml:space="preserve">10. </w:t>
      </w:r>
      <w:r>
        <w:t>Plug in the Safety Chip: Enforcing Constraints for LLM-driven Robot Agents / Z. Yang, S. S. Raman, A. Shah, S. Tellex // 2024 IEEE International Conference on Robotics and Automation (ICRA). – 2024. – P. 14435–14442. – DOI 10.1109/ICRA57147.2024.10611447.</w:t>
      </w:r>
    </w:p>
    <w:p>
      <w:pPr>
        <w:ind w:left="510" w:hanging="397"/>
      </w:pPr>
      <w:r>
        <w:t xml:space="preserve">11. </w:t>
      </w:r>
      <w:r>
        <w:t>Salman, A. Resource Constraints and Performance in Agentic AI Systems : preprint / A. Salman, M. Halgamuge, T. Susnjak. – 2026. – arXiv:2608.27886. – URL: https://arxiv.org/abs/2608.27886 (дата обращения: 06.10.2026). – Текст : электронный.</w:t>
      </w:r>
    </w:p>
    <w:p>
      <w:pPr>
        <w:ind w:left="510" w:hanging="397"/>
      </w:pPr>
      <w:r>
        <w:t xml:space="preserve">12. </w:t>
      </w:r>
      <w:r>
        <w:t>AI Agents That Matter / S. Kapoor, B. Stroebl, Z. S. Siegel [et al.]. – Текст : электронный // Transactions on Machine Learning Research. – 2025. – URL: https://openreview.net/forum?id=Zy4uFzMviZ (дата обращения: 06.10.2026).</w:t>
      </w:r>
    </w:p>
    <w:p>
      <w:pPr>
        <w:ind w:left="510" w:hanging="397"/>
      </w:pPr>
      <w:r>
        <w:t xml:space="preserve">13. </w:t>
      </w:r>
      <w:r>
        <w:t>Hoefler, T. Scientific Benchmarking of Parallel Computing Systems: Twelve Ways to Tell the Masses When Reporting Performance Results / T. Hoefler, R. Belli // SC '15: Proceedings of the International Conference for High Performance Computing, Networking, Storage and Analysis. – 2015. – Art. 73. – P. 1–12. – DOI 10.1145/2807591.2807644.</w:t>
      </w:r>
    </w:p>
    <w:p>
      <w:pPr>
        <w:ind w:left="510" w:hanging="397"/>
      </w:pPr>
      <w:r>
        <w:t xml:space="preserve">14. </w:t>
      </w:r>
      <w:r>
        <w:t>Accurate Calibration of Power Measurements from Internal Power Sensors on NVIDIA Jetson Devices / N. Shalavi, A. Khoshsirat, M. Stellini [et al.] // 2023 IEEE International Conference on Edge Computing and Communications (EDGE). – 2023. – P. 166–170. – DOI 10.1109/EDGE60047.2023.00034.</w:t>
      </w:r>
    </w:p>
    <w:p>
      <w:pPr>
        <w:ind w:left="510" w:hanging="397"/>
      </w:pPr>
      <w:r>
        <w:t xml:space="preserve">15. </w:t>
      </w:r>
      <w:r>
        <w:t>AIOS: LLM Agent Operating System / K. Mei, X. Zhu, W. Xu [et al.]. – Текст : электронный // Conference on Language Modeling (COLM 2025). – 2025. – URL: https://openreview.net/forum?id=L4HHkCDz2x (дата обращения: 06.10.2026).</w:t>
      </w:r>
    </w:p>
    <w:p>
      <w:pPr>
        <w:ind w:left="510" w:hanging="397"/>
      </w:pPr>
      <w:r>
        <w:t xml:space="preserve">16. </w:t>
      </w:r>
      <w:r>
        <w:t>Model Context Protocol : specification, version 2025-11-25. – URL: https://modelcontextprotocol.io/specification/2025-11-25 (дата обращения: 06.10.2026). – Текст : электронный.</w:t>
      </w:r>
    </w:p>
    <w:p>
      <w:pPr>
        <w:ind w:left="510" w:hanging="397"/>
      </w:pPr>
      <w:r>
        <w:t xml:space="preserve">17. </w:t>
      </w:r>
      <w:r>
        <w:t>PicoClaw : [репозиторий] / Sipeed. – Версия 0.3.1. – 2026. – URL: https://github.com/sipeed/picoclaw (дата обращения: 06.10.2026). – Текст : электронный.</w:t>
      </w:r>
    </w:p>
    <w:p>
      <w:pPr>
        <w:ind w:left="510" w:hanging="397"/>
      </w:pPr>
      <w:r>
        <w:t xml:space="preserve">18. </w:t>
      </w:r>
      <w:r>
        <w:t>RouterAI : единый API к нейросетям : [сайт]. – URL: https://routerai.ru/ (дата обращения: 06.10.2026). – Текст : электронный.</w:t>
      </w:r>
    </w:p>
    <w:p>
      <w:pPr>
        <w:ind w:left="510" w:hanging="397"/>
      </w:pPr>
      <w:r>
        <w:t xml:space="preserve">19. </w:t>
      </w:r>
      <w:r>
        <w:t>NanoClaw : [репозиторий] / NanoCo. – URL: https://github.com/nanocoai/nanoclaw (дата обращения: 06.10.2026). – Текст : электронный.</w:t>
      </w:r>
    </w:p>
    <w:p>
      <w:pPr>
        <w:ind w:left="510" w:hanging="397"/>
      </w:pPr>
      <w:r>
        <w:t xml:space="preserve">20. </w:t>
      </w:r>
      <w:r>
        <w:t>OpenClaw : [репозиторий]. – URL: https://github.com/openclaw/openclaw (дата обращения: 06.10.2026). – Текст : электронный.</w:t>
      </w:r>
    </w:p>
    <w:p>
      <w:pPr>
        <w:ind w:left="510" w:hanging="397"/>
      </w:pPr>
      <w:r>
        <w:t xml:space="preserve">21. </w:t>
      </w:r>
      <w:r>
        <w:t>nanobot : [репозиторий] / Data Intelligence Lab@HKU (HKUDS). – Версия 0.3.5. – 2026. – URL: https://github.com/HKUDS/nanobot (дата обращения: 06.10.2026). – Текст : электронный.</w:t>
      </w:r>
    </w:p>
    <w:p>
      <w:pPr>
        <w:ind w:left="510" w:hanging="397"/>
      </w:pPr>
      <w:r>
        <w:t xml:space="preserve">22. </w:t>
      </w:r>
      <w:r>
        <w:t>Dehigaspitiyage Don, S. Y. Benchmarking Lightweight AI-Agent Frameworks on a 2 GB Raspberry Pi 4: Framework Overhead, Offline Feasibility, and Fleet Density : preprint / S. Y. Dehigaspitiyage Don. – Версия 0.2. – Zenodo, 2026. – DOI 10.5281/zenodo.20593332. – Текст : электронный.</w:t>
      </w:r>
    </w:p>
    <w:p>
      <w:pPr>
        <w:ind w:left="510" w:hanging="397"/>
      </w:pPr>
      <w:r>
        <w:t xml:space="preserve">23. </w:t>
      </w:r>
      <w:r>
        <w:t>Nguyen, T. An Evaluation of LLMs Inference on Popular Single-board Computers : preprint / T. Nguyen, T. Nguyen. – 2025. – arXiv:2511.07425. – URL: https://arxiv.org/abs/2511.07425 (дата обращения: 06.10.2026). – Текст : электронный.</w:t>
      </w:r>
    </w:p>
    <w:p>
      <w:pPr>
        <w:ind w:left="510" w:hanging="397"/>
      </w:pPr>
      <w:r>
        <w:t xml:space="preserve">24. </w:t>
      </w:r>
      <w:r>
        <w:t>Enabling Novel Mission Operations and Interactions with ROSA: The Robot Operating System Agent / R. Royce, M. Kaufmann, J. Becktor [et al.] // 2025 IEEE Aerospace Conference. – 2025. – P. 1–16. – DOI 10.1109/AERO63441.2025.11068426.</w:t>
      </w:r>
    </w:p>
    <w:p>
      <w:pPr>
        <w:ind w:left="510" w:hanging="397"/>
      </w:pPr>
      <w:r>
        <w:t xml:space="preserve">25. </w:t>
      </w:r>
      <w:r>
        <w:t>Cook, D. CASAS Smart Home dataset – free living, motion, door, activity labels : dataset / D. Cook. – Zenodo, 2025. – DOI 10.5281/zenodo.15708568. – Текст : электронный.</w:t>
      </w:r>
    </w:p>
    <w:p>
      <w:r>
        <w:rPr>
          <w:color w:val="5B6170"/>
          <w:sz w:val="20"/>
        </w:rPr>
        <w:t xml:space="preserve">Подробная концепция (полный разбор аналогов, методики, бюджета и рисков, около 60 проверенных источников) — </w:t>
      </w:r>
      <w:r>
        <w:rPr>
          <w:rFonts w:ascii="Menlo" w:hAnsi="Menlo"/>
          <w:color w:val="5B6170"/>
          <w:sz w:val="20"/>
        </w:rPr>
        <w:t>research/new_topic/THESIS_CONCEPT.md</w:t>
      </w:r>
      <w:r>
        <w:rPr>
          <w:color w:val="5B6170"/>
          <w:sz w:val="20"/>
        </w:rPr>
        <w:t xml:space="preserve">, </w:t>
      </w:r>
      <w:r>
        <w:rPr>
          <w:rFonts w:ascii="Menlo" w:hAnsi="Menlo"/>
          <w:color w:val="5B6170"/>
          <w:sz w:val="20"/>
        </w:rPr>
        <w:t>SOURCES.md</w:t>
      </w:r>
      <w:r>
        <w:rPr>
          <w:color w:val="5B6170"/>
          <w:sz w:val="20"/>
        </w:rPr>
        <w:t xml:space="preserve">; карта существующих агентов — </w:t>
      </w:r>
      <w:r>
        <w:rPr>
          <w:rFonts w:ascii="Menlo" w:hAnsi="Menlo"/>
          <w:color w:val="5B6170"/>
          <w:sz w:val="20"/>
        </w:rPr>
        <w:t>research/new_topic/landscape/AGENT_LANDSCAPE.md</w:t>
      </w:r>
      <w:r>
        <w:rPr>
          <w:color w:val="5B6170"/>
          <w:sz w:val="20"/>
        </w:rPr>
        <w:t>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ВКР</dc:title>
  <dc:subject/>
  <dc:creator>Евстигнеев Н. 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