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1D21"/>
        </w:rPr>
        <w:t>Что я изучил: существующие ИИ-агенты для граничных устройств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711"/>
      </w:tblGrid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1"/>
              </w:rPr>
              <w:t>Студент</w:t>
            </w:r>
          </w:p>
        </w:tc>
        <w:tc>
          <w:tcPr>
            <w:tcW w:type="dxa" w:w="7710"/>
          </w:tcPr>
          <w:p>
            <w:pPr>
              <w:spacing w:after="0"/>
            </w:pPr>
            <w:r>
              <w:rPr>
                <w:sz w:val="21"/>
              </w:rPr>
              <w:t>Евстигнеев Н. А., группа P3431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1"/>
              </w:rPr>
              <w:t>Тема</w:t>
            </w:r>
          </w:p>
        </w:tc>
        <w:tc>
          <w:tcPr>
            <w:tcW w:type="dxa" w:w="7710"/>
          </w:tcPr>
          <w:p>
            <w:pPr>
              <w:spacing w:after="0"/>
            </w:pPr>
            <w:r>
              <w:rPr>
                <w:sz w:val="21"/>
              </w:rPr>
              <w:t>«Разработка ИИ-агента для приложений граничного искусственного интеллекта»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1"/>
              </w:rPr>
              <w:t>Дата</w:t>
            </w:r>
          </w:p>
        </w:tc>
        <w:tc>
          <w:tcPr>
            <w:tcW w:type="dxa" w:w="7710"/>
          </w:tcPr>
          <w:p>
            <w:pPr>
              <w:spacing w:after="0"/>
            </w:pPr>
            <w:r>
              <w:rPr>
                <w:sz w:val="21"/>
              </w:rPr>
              <w:t>7 октября 2026 г.; данные о проектах (звёзды на GitHub, версии) — на 6 октября 2026 г.</w:t>
            </w:r>
          </w:p>
        </w:tc>
      </w:tr>
    </w:tbl>
    <w:p>
      <w:pPr>
        <w:spacing w:after="40"/>
      </w:pPr>
    </w:p>
    <w:p>
      <w:pPr>
        <w:shd w:val="clear" w:color="auto" w:fill="F3F5F8"/>
        <w:pBdr>
          <w:left w:val="single" w:sz="18" w:space="6" w:color="1F4E8C"/>
        </w:pBdr>
        <w:ind w:left="170"/>
      </w:pPr>
      <w:r>
        <w:rPr>
          <w:b/>
        </w:rPr>
        <w:t>Итог обзора в трёх пунктах.</w:t>
      </w:r>
      <w:r>
        <w:t xml:space="preserve"> (1) Схема «тонкий агент на устройстве + внешняя языковая модель + MCP к оборудованию» уже стала распространённой практикой, поэтому новизна работы не в самой схеме. (2) Существующие агенты оценивались лишь на коротких задачах; многочасового профиля «вызовы модели + токены + рубли + память + процессор» на одноплатнике, а тем более при жёстких ограничениях ресурсов, в проверенных источниках нет. (3) Для робота и камеры главная статья затрат — сырые данные датчиков: их нельзя отдавать модели напрямую.</w:t>
      </w:r>
    </w:p>
    <w:p>
      <w:pPr>
        <w:pStyle w:val="Heading2"/>
      </w:pPr>
      <w:r>
        <w:rPr>
          <w:color w:val="1F4E8C"/>
        </w:rPr>
        <w:t>1. Классы существующих агентов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642"/>
        <w:gridCol w:w="1507"/>
        <w:gridCol w:w="2781"/>
      </w:tblGrid>
      <w:tr>
        <w:tc>
          <w:tcPr>
            <w:tcW w:type="dxa" w:w="2594"/>
            <w:shd w:val="clear" w:color="auto" w:fill="F3F5F8"/>
          </w:tcPr>
          <w:p>
            <w:pPr>
              <w:spacing w:after="0"/>
            </w:pPr>
            <w:r>
              <w:rPr>
                <w:b/>
                <w:sz w:val="20"/>
              </w:rPr>
              <w:t>Класс</w:t>
            </w:r>
          </w:p>
        </w:tc>
        <w:tc>
          <w:tcPr>
            <w:tcW w:type="dxa" w:w="2642"/>
            <w:shd w:val="clear" w:color="auto" w:fill="F3F5F8"/>
          </w:tcPr>
          <w:p>
            <w:pPr>
              <w:spacing w:after="0"/>
            </w:pPr>
            <w:r>
              <w:rPr>
                <w:b/>
                <w:sz w:val="20"/>
              </w:rPr>
              <w:t>Примеры</w:t>
            </w:r>
          </w:p>
        </w:tc>
        <w:tc>
          <w:tcPr>
            <w:tcW w:type="dxa" w:w="1507"/>
            <w:shd w:val="clear" w:color="auto" w:fill="F3F5F8"/>
          </w:tcPr>
          <w:p>
            <w:pPr>
              <w:spacing w:after="0"/>
            </w:pPr>
            <w:r>
              <w:rPr>
                <w:b/>
                <w:sz w:val="20"/>
              </w:rPr>
              <w:t>Где языковая модель</w:t>
            </w:r>
          </w:p>
        </w:tc>
        <w:tc>
          <w:tcPr>
            <w:tcW w:type="dxa" w:w="2782"/>
            <w:shd w:val="clear" w:color="auto" w:fill="F3F5F8"/>
          </w:tcPr>
          <w:p>
            <w:pPr>
              <w:spacing w:after="0"/>
            </w:pPr>
            <w:r>
              <w:rPr>
                <w:b/>
                <w:sz w:val="20"/>
              </w:rPr>
              <w:t>Что важно для ВКР</w:t>
            </w:r>
          </w:p>
        </w:tc>
      </w:tr>
      <w:tr>
        <w:tc>
          <w:tcPr>
            <w:tcW w:type="dxa" w:w="2594"/>
          </w:tcPr>
          <w:p>
            <w:pPr>
              <w:spacing w:after="0"/>
            </w:pPr>
            <w:r>
              <w:rPr>
                <w:sz w:val="20"/>
              </w:rPr>
              <w:t>Личные агенты на собственном оборудовании пользователя и их облегчённые варианты</w:t>
            </w:r>
          </w:p>
        </w:tc>
        <w:tc>
          <w:tcPr>
            <w:tcW w:type="dxa" w:w="2642"/>
          </w:tcPr>
          <w:p>
            <w:pPr>
              <w:spacing w:after="0"/>
            </w:pPr>
            <w:r>
              <w:rPr>
                <w:sz w:val="20"/>
              </w:rPr>
              <w:t>OpenClaw; NanoClaw, PicoClaw, nanobot, ZeroClaw; агенты на микроконтроллерах ESP32</w:t>
            </w:r>
          </w:p>
        </w:tc>
        <w:tc>
          <w:tcPr>
            <w:tcW w:type="dxa" w:w="1507"/>
          </w:tcPr>
          <w:p>
            <w:pPr>
              <w:spacing w:after="0"/>
            </w:pPr>
            <w:r>
              <w:rPr>
                <w:sz w:val="20"/>
              </w:rPr>
              <w:t>облако</w:t>
            </w:r>
          </w:p>
        </w:tc>
        <w:tc>
          <w:tcPr>
            <w:tcW w:type="dxa" w:w="2782"/>
          </w:tcPr>
          <w:p>
            <w:pPr>
              <w:spacing w:after="0"/>
            </w:pPr>
            <w:r>
              <w:rPr>
                <w:sz w:val="20"/>
              </w:rPr>
              <w:t>ближайшие аналоги и основа сравнения</w:t>
            </w:r>
          </w:p>
        </w:tc>
      </w:tr>
      <w:tr>
        <w:tc>
          <w:tcPr>
            <w:tcW w:type="dxa" w:w="2594"/>
          </w:tcPr>
          <w:p>
            <w:pPr>
              <w:spacing w:after="0"/>
            </w:pPr>
            <w:r>
              <w:rPr>
                <w:sz w:val="20"/>
              </w:rPr>
              <w:t>Умный дом и голосовые ассистенты</w:t>
            </w:r>
          </w:p>
        </w:tc>
        <w:tc>
          <w:tcPr>
            <w:tcW w:type="dxa" w:w="2642"/>
          </w:tcPr>
          <w:p>
            <w:pPr>
              <w:spacing w:after="0"/>
            </w:pPr>
            <w:r>
              <w:rPr>
                <w:sz w:val="20"/>
              </w:rPr>
              <w:t>Home Assistant с языковой моделью и MCP-сервером; xiaozhi-esp32</w:t>
            </w:r>
          </w:p>
        </w:tc>
        <w:tc>
          <w:tcPr>
            <w:tcW w:type="dxa" w:w="1507"/>
          </w:tcPr>
          <w:p>
            <w:pPr>
              <w:spacing w:after="0"/>
            </w:pPr>
            <w:r>
              <w:rPr>
                <w:sz w:val="20"/>
              </w:rPr>
              <w:t>облако или локально</w:t>
            </w:r>
          </w:p>
        </w:tc>
        <w:tc>
          <w:tcPr>
            <w:tcW w:type="dxa" w:w="2782"/>
          </w:tcPr>
          <w:p>
            <w:pPr>
              <w:spacing w:after="0"/>
            </w:pPr>
            <w:r>
              <w:rPr>
                <w:sz w:val="20"/>
              </w:rPr>
              <w:t>массовая практика «оборудование → MCP → модель», часто на Raspberry Pi</w:t>
            </w:r>
          </w:p>
        </w:tc>
      </w:tr>
      <w:tr>
        <w:tc>
          <w:tcPr>
            <w:tcW w:type="dxa" w:w="2594"/>
          </w:tcPr>
          <w:p>
            <w:pPr>
              <w:spacing w:after="0"/>
            </w:pPr>
            <w:r>
              <w:rPr>
                <w:sz w:val="20"/>
              </w:rPr>
              <w:t>Робототехника (ROS)</w:t>
            </w:r>
          </w:p>
        </w:tc>
        <w:tc>
          <w:tcPr>
            <w:tcW w:type="dxa" w:w="2642"/>
          </w:tcPr>
          <w:p>
            <w:pPr>
              <w:spacing w:after="0"/>
            </w:pPr>
            <w:r>
              <w:rPr>
                <w:sz w:val="20"/>
              </w:rPr>
              <w:t>ROSA (NASA JPL), ros-mcp-server, Nav2-MCP; агентные «ОС» роботов</w:t>
            </w:r>
          </w:p>
        </w:tc>
        <w:tc>
          <w:tcPr>
            <w:tcW w:type="dxa" w:w="1507"/>
          </w:tcPr>
          <w:p>
            <w:pPr>
              <w:spacing w:after="0"/>
            </w:pPr>
            <w:r>
              <w:rPr>
                <w:sz w:val="20"/>
              </w:rPr>
              <w:t>облако или машина оператора</w:t>
            </w:r>
          </w:p>
        </w:tc>
        <w:tc>
          <w:tcPr>
            <w:tcW w:type="dxa" w:w="2782"/>
          </w:tcPr>
          <w:p>
            <w:pPr>
              <w:spacing w:after="0"/>
            </w:pPr>
            <w:r>
              <w:rPr>
                <w:sz w:val="20"/>
              </w:rPr>
              <w:t>сценарий с роботом; пока в основном исследования, а не массовое использование</w:t>
            </w:r>
          </w:p>
        </w:tc>
      </w:tr>
      <w:tr>
        <w:tc>
          <w:tcPr>
            <w:tcW w:type="dxa" w:w="2594"/>
          </w:tcPr>
          <w:p>
            <w:pPr>
              <w:spacing w:after="0"/>
            </w:pPr>
            <w:r>
              <w:rPr>
                <w:sz w:val="20"/>
              </w:rPr>
              <w:t>Экосистема NVIDIA Jetson</w:t>
            </w:r>
          </w:p>
        </w:tc>
        <w:tc>
          <w:tcPr>
            <w:tcW w:type="dxa" w:w="2642"/>
          </w:tcPr>
          <w:p>
            <w:pPr>
              <w:spacing w:after="0"/>
            </w:pPr>
            <w:r>
              <w:rPr>
                <w:sz w:val="20"/>
              </w:rPr>
              <w:t>jetson-containers, руководства по запуску OpenClaw на Jetson Orin, jetson-inference</w:t>
            </w:r>
          </w:p>
        </w:tc>
        <w:tc>
          <w:tcPr>
            <w:tcW w:type="dxa" w:w="1507"/>
          </w:tcPr>
          <w:p>
            <w:pPr>
              <w:spacing w:after="0"/>
            </w:pPr>
            <w:r>
              <w:rPr>
                <w:sz w:val="20"/>
              </w:rPr>
              <w:t>на борту (Orin)</w:t>
            </w:r>
          </w:p>
        </w:tc>
        <w:tc>
          <w:tcPr>
            <w:tcW w:type="dxa" w:w="2782"/>
          </w:tcPr>
          <w:p>
            <w:pPr>
              <w:spacing w:after="0"/>
            </w:pPr>
            <w:r>
              <w:rPr>
                <w:sz w:val="20"/>
              </w:rPr>
              <w:t>для старого Jetson Nano применимо мало: локальные модели на нём медленные</w:t>
            </w:r>
          </w:p>
        </w:tc>
      </w:tr>
      <w:tr>
        <w:tc>
          <w:tcPr>
            <w:tcW w:type="dxa" w:w="2594"/>
          </w:tcPr>
          <w:p>
            <w:pPr>
              <w:spacing w:after="0"/>
            </w:pPr>
            <w:r>
              <w:rPr>
                <w:sz w:val="20"/>
              </w:rPr>
              <w:t>Универсальные фреймворки</w:t>
            </w:r>
          </w:p>
        </w:tc>
        <w:tc>
          <w:tcPr>
            <w:tcW w:type="dxa" w:w="2642"/>
          </w:tcPr>
          <w:p>
            <w:pPr>
              <w:spacing w:after="0"/>
            </w:pPr>
            <w:r>
              <w:rPr>
                <w:sz w:val="20"/>
              </w:rPr>
              <w:t>LangChain/LangGraph, OpenAI Agents SDK, smolagents и др.</w:t>
            </w:r>
          </w:p>
        </w:tc>
        <w:tc>
          <w:tcPr>
            <w:tcW w:type="dxa" w:w="1507"/>
          </w:tcPr>
          <w:p>
            <w:pPr>
              <w:spacing w:after="0"/>
            </w:pPr>
            <w:r>
              <w:rPr>
                <w:sz w:val="20"/>
              </w:rPr>
              <w:t>любая</w:t>
            </w:r>
          </w:p>
        </w:tc>
        <w:tc>
          <w:tcPr>
            <w:tcW w:type="dxa" w:w="2782"/>
          </w:tcPr>
          <w:p>
            <w:pPr>
              <w:spacing w:after="0"/>
            </w:pPr>
            <w:r>
              <w:rPr>
                <w:sz w:val="20"/>
              </w:rPr>
              <w:t>тяжёлые для слабых плат; в лёгких агентах вместо них реализован собственный минимальный цикл</w:t>
            </w:r>
          </w:p>
        </w:tc>
      </w:tr>
      <w:tr>
        <w:tc>
          <w:tcPr>
            <w:tcW w:type="dxa" w:w="2594"/>
          </w:tcPr>
          <w:p>
            <w:pPr>
              <w:spacing w:after="0"/>
            </w:pPr>
            <w:r>
              <w:rPr>
                <w:sz w:val="20"/>
              </w:rPr>
              <w:t>Промышленный IoT</w:t>
            </w:r>
          </w:p>
        </w:tc>
        <w:tc>
          <w:tcPr>
            <w:tcW w:type="dxa" w:w="2642"/>
          </w:tcPr>
          <w:p>
            <w:pPr>
              <w:spacing w:after="0"/>
            </w:pPr>
            <w:r>
              <w:rPr>
                <w:sz w:val="20"/>
              </w:rPr>
              <w:t>AWS Greengrass + облачный агент, решения Microsoft и Siemens</w:t>
            </w:r>
          </w:p>
        </w:tc>
        <w:tc>
          <w:tcPr>
            <w:tcW w:type="dxa" w:w="1507"/>
          </w:tcPr>
          <w:p>
            <w:pPr>
              <w:spacing w:after="0"/>
            </w:pPr>
            <w:r>
              <w:rPr>
                <w:sz w:val="20"/>
              </w:rPr>
              <w:t>облако или локальный сервер</w:t>
            </w:r>
          </w:p>
        </w:tc>
        <w:tc>
          <w:tcPr>
            <w:tcW w:type="dxa" w:w="2782"/>
          </w:tcPr>
          <w:p>
            <w:pPr>
              <w:spacing w:after="0"/>
            </w:pPr>
            <w:r>
              <w:rPr>
                <w:sz w:val="20"/>
              </w:rPr>
              <w:t>схема «дешёвый локальный фильтр → облачный агент»</w:t>
            </w:r>
          </w:p>
        </w:tc>
      </w:tr>
      <w:tr>
        <w:tc>
          <w:tcPr>
            <w:tcW w:type="dxa" w:w="2594"/>
          </w:tcPr>
          <w:p>
            <w:pPr>
              <w:spacing w:after="0"/>
            </w:pPr>
            <w:r>
              <w:rPr>
                <w:sz w:val="20"/>
              </w:rPr>
              <w:t>Научные системы</w:t>
            </w:r>
          </w:p>
        </w:tc>
        <w:tc>
          <w:tcPr>
            <w:tcW w:type="dxa" w:w="2642"/>
          </w:tcPr>
          <w:p>
            <w:pPr>
              <w:spacing w:after="0"/>
            </w:pPr>
            <w:r>
              <w:rPr>
                <w:sz w:val="20"/>
              </w:rPr>
              <w:t>SayCan, Code as Policies, ChatGPT for Robotics, Sasha, SimuHome, IoT-MCP</w:t>
            </w:r>
          </w:p>
        </w:tc>
        <w:tc>
          <w:tcPr>
            <w:tcW w:type="dxa" w:w="1507"/>
          </w:tcPr>
          <w:p>
            <w:pPr>
              <w:spacing w:after="0"/>
            </w:pPr>
            <w:r>
              <w:rPr>
                <w:sz w:val="20"/>
              </w:rPr>
              <w:t>в основном облако</w:t>
            </w:r>
          </w:p>
        </w:tc>
        <w:tc>
          <w:tcPr>
            <w:tcW w:type="dxa" w:w="2782"/>
          </w:tcPr>
          <w:p>
            <w:pPr>
              <w:spacing w:after="0"/>
            </w:pPr>
            <w:r>
              <w:rPr>
                <w:sz w:val="20"/>
              </w:rPr>
              <w:t>методы оценки, метрики, обоснование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4E8C"/>
        </w:rPr>
        <w:t>2. Ближайшие аналоги: что они собой представляют и сколько потребляют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8"/>
        <w:gridCol w:w="2032"/>
        <w:gridCol w:w="3314"/>
        <w:gridCol w:w="2559"/>
      </w:tblGrid>
      <w:tr>
        <w:tc>
          <w:tcPr>
            <w:tcW w:type="dxa" w:w="1619"/>
            <w:shd w:val="clear" w:color="auto" w:fill="F3F5F8"/>
          </w:tcPr>
          <w:p>
            <w:pPr>
              <w:spacing w:after="0"/>
            </w:pPr>
            <w:r>
              <w:rPr>
                <w:b/>
                <w:sz w:val="20"/>
              </w:rPr>
              <w:t>Система</w:t>
            </w:r>
          </w:p>
        </w:tc>
        <w:tc>
          <w:tcPr>
            <w:tcW w:type="dxa" w:w="2033"/>
            <w:shd w:val="clear" w:color="auto" w:fill="F3F5F8"/>
          </w:tcPr>
          <w:p>
            <w:pPr>
              <w:spacing w:after="0"/>
            </w:pPr>
            <w:r>
              <w:rPr>
                <w:b/>
                <w:sz w:val="20"/>
              </w:rPr>
              <w:t>Язык и запуск</w:t>
            </w:r>
          </w:p>
        </w:tc>
        <w:tc>
          <w:tcPr>
            <w:tcW w:type="dxa" w:w="3314"/>
            <w:shd w:val="clear" w:color="auto" w:fill="F3F5F8"/>
          </w:tcPr>
          <w:p>
            <w:pPr>
              <w:spacing w:after="0"/>
            </w:pPr>
            <w:r>
              <w:rPr>
                <w:b/>
                <w:sz w:val="20"/>
              </w:rPr>
              <w:t>Память (сторонние замеры; где указано — наш)</w:t>
            </w:r>
          </w:p>
        </w:tc>
        <w:tc>
          <w:tcPr>
            <w:tcW w:type="dxa" w:w="2559"/>
            <w:shd w:val="clear" w:color="auto" w:fill="F3F5F8"/>
          </w:tcPr>
          <w:p>
            <w:pPr>
              <w:spacing w:after="0"/>
            </w:pPr>
            <w:r>
              <w:rPr>
                <w:b/>
                <w:sz w:val="20"/>
              </w:rPr>
              <w:t>Старый Jetson Nano (Ubuntu 18.04)</w:t>
            </w:r>
          </w:p>
        </w:tc>
      </w:tr>
      <w:tr>
        <w:tc>
          <w:tcPr>
            <w:tcW w:type="dxa" w:w="1619"/>
          </w:tcPr>
          <w:p>
            <w:pPr>
              <w:spacing w:after="0"/>
            </w:pPr>
            <w:r>
              <w:rPr>
                <w:sz w:val="20"/>
              </w:rPr>
              <w:t>OpenClaw (≈391 тыс. звёзд)</w:t>
            </w:r>
          </w:p>
        </w:tc>
        <w:tc>
          <w:tcPr>
            <w:tcW w:type="dxa" w:w="2033"/>
          </w:tcPr>
          <w:p>
            <w:pPr>
              <w:spacing w:after="0"/>
            </w:pPr>
            <w:r>
              <w:rPr>
                <w:sz w:val="20"/>
              </w:rPr>
              <w:t>TypeScript, Node.js ≥ 24.16</w:t>
            </w:r>
          </w:p>
        </w:tc>
        <w:tc>
          <w:tcPr>
            <w:tcW w:type="dxa" w:w="3314"/>
          </w:tcPr>
          <w:p>
            <w:pPr>
              <w:spacing w:after="0"/>
            </w:pPr>
            <w:r>
              <w:rPr>
                <w:sz w:val="20"/>
              </w:rPr>
              <w:t>медиана пиковой памяти ≈2,9 ГиБ (Docker на рабочей станции) [1]</w:t>
            </w:r>
          </w:p>
        </w:tc>
        <w:tc>
          <w:tcPr>
            <w:tcW w:type="dxa" w:w="2559"/>
          </w:tcPr>
          <w:p>
            <w:pPr>
              <w:spacing w:after="0"/>
            </w:pPr>
            <w:r>
              <w:rPr>
                <w:sz w:val="20"/>
              </w:rPr>
              <w:t>штатно не запускается: сборки Node.js требуют более новой системы</w:t>
            </w:r>
          </w:p>
        </w:tc>
      </w:tr>
      <w:tr>
        <w:tc>
          <w:tcPr>
            <w:tcW w:type="dxa" w:w="1619"/>
          </w:tcPr>
          <w:p>
            <w:pPr>
              <w:spacing w:after="0"/>
            </w:pPr>
            <w:r>
              <w:rPr>
                <w:sz w:val="20"/>
              </w:rPr>
              <w:t>NanoClaw (≈31 тыс.)</w:t>
            </w:r>
          </w:p>
        </w:tc>
        <w:tc>
          <w:tcPr>
            <w:tcW w:type="dxa" w:w="2033"/>
          </w:tcPr>
          <w:p>
            <w:pPr>
              <w:spacing w:after="0"/>
            </w:pPr>
            <w:r>
              <w:rPr>
                <w:sz w:val="20"/>
              </w:rPr>
              <w:t>TypeScript, Node.js ≥ 22, Docker</w:t>
            </w:r>
          </w:p>
        </w:tc>
        <w:tc>
          <w:tcPr>
            <w:tcW w:type="dxa" w:w="3314"/>
          </w:tcPr>
          <w:p>
            <w:pPr>
              <w:spacing w:after="0"/>
            </w:pPr>
            <w:r>
              <w:rPr>
                <w:sz w:val="20"/>
              </w:rPr>
              <w:t>—</w:t>
            </w:r>
          </w:p>
        </w:tc>
        <w:tc>
          <w:tcPr>
            <w:tcW w:type="dxa" w:w="2559"/>
          </w:tcPr>
          <w:p>
            <w:pPr>
              <w:spacing w:after="0"/>
            </w:pPr>
            <w:r>
              <w:rPr>
                <w:sz w:val="20"/>
              </w:rPr>
              <w:t>штатно не запускается</w:t>
            </w:r>
          </w:p>
        </w:tc>
      </w:tr>
      <w:tr>
        <w:tc>
          <w:tcPr>
            <w:tcW w:type="dxa" w:w="1619"/>
          </w:tcPr>
          <w:p>
            <w:pPr>
              <w:spacing w:after="0"/>
            </w:pPr>
            <w:r>
              <w:rPr>
                <w:sz w:val="20"/>
              </w:rPr>
              <w:t>PicoClaw (≈30 тыс.)</w:t>
            </w:r>
          </w:p>
        </w:tc>
        <w:tc>
          <w:tcPr>
            <w:tcW w:type="dxa" w:w="2033"/>
          </w:tcPr>
          <w:p>
            <w:pPr>
              <w:spacing w:after="0"/>
            </w:pPr>
            <w:r>
              <w:rPr>
                <w:sz w:val="20"/>
              </w:rPr>
              <w:t>Go, один исполняемый файл</w:t>
            </w:r>
          </w:p>
        </w:tc>
        <w:tc>
          <w:tcPr>
            <w:tcW w:type="dxa" w:w="3314"/>
          </w:tcPr>
          <w:p>
            <w:pPr>
              <w:spacing w:after="0"/>
            </w:pPr>
            <w:r>
              <w:rPr>
                <w:sz w:val="20"/>
              </w:rPr>
              <w:t>≈31 МБ пиковой памяти на Raspberry Pi 4 [2]; в нашем пробном прогоне (v0.3.1, ноутбук) — ≈42 МиБ</w:t>
            </w:r>
          </w:p>
        </w:tc>
        <w:tc>
          <w:tcPr>
            <w:tcW w:type="dxa" w:w="2559"/>
          </w:tcPr>
          <w:p>
            <w:pPr>
              <w:spacing w:after="0"/>
            </w:pPr>
            <w:r>
              <w:rPr>
                <w:sz w:val="20"/>
              </w:rPr>
              <w:t>должен запускаться (статическая сборка)</w:t>
            </w:r>
          </w:p>
        </w:tc>
      </w:tr>
      <w:tr>
        <w:tc>
          <w:tcPr>
            <w:tcW w:type="dxa" w:w="1619"/>
          </w:tcPr>
          <w:p>
            <w:pPr>
              <w:spacing w:after="0"/>
            </w:pPr>
            <w:r>
              <w:rPr>
                <w:sz w:val="20"/>
              </w:rPr>
              <w:t>nanobot (≈49 тыс.)</w:t>
            </w:r>
          </w:p>
        </w:tc>
        <w:tc>
          <w:tcPr>
            <w:tcW w:type="dxa" w:w="2033"/>
          </w:tcPr>
          <w:p>
            <w:pPr>
              <w:spacing w:after="0"/>
            </w:pPr>
            <w:r>
              <w:rPr>
                <w:sz w:val="20"/>
              </w:rPr>
              <w:t>Python</w:t>
            </w:r>
          </w:p>
        </w:tc>
        <w:tc>
          <w:tcPr>
            <w:tcW w:type="dxa" w:w="3314"/>
          </w:tcPr>
          <w:p>
            <w:pPr>
              <w:spacing w:after="0"/>
            </w:pPr>
            <w:r>
              <w:rPr>
                <w:sz w:val="20"/>
              </w:rPr>
              <w:t>≈130 МБ на Raspberry Pi 4 [2]; ≈136 МиБ (версия 0.1.5) [1]; в нашем пробном прогоне (версия 0.3.5) — ≈166 МиБ</w:t>
            </w:r>
          </w:p>
        </w:tc>
        <w:tc>
          <w:tcPr>
            <w:tcW w:type="dxa" w:w="2559"/>
          </w:tcPr>
          <w:p>
            <w:pPr>
              <w:spacing w:after="0"/>
            </w:pPr>
            <w:r>
              <w:rPr>
                <w:sz w:val="20"/>
              </w:rPr>
              <w:t>только с ручной сборкой одной зависимости</w:t>
            </w:r>
          </w:p>
        </w:tc>
      </w:tr>
      <w:tr>
        <w:tc>
          <w:tcPr>
            <w:tcW w:type="dxa" w:w="1619"/>
          </w:tcPr>
          <w:p>
            <w:pPr>
              <w:spacing w:after="0"/>
            </w:pPr>
            <w:r>
              <w:rPr>
                <w:sz w:val="20"/>
              </w:rPr>
              <w:t>ZeroClaw</w:t>
            </w:r>
          </w:p>
        </w:tc>
        <w:tc>
          <w:tcPr>
            <w:tcW w:type="dxa" w:w="2033"/>
          </w:tcPr>
          <w:p>
            <w:pPr>
              <w:spacing w:after="0"/>
            </w:pPr>
            <w:r>
              <w:rPr>
                <w:sz w:val="20"/>
              </w:rPr>
              <w:t>Rust</w:t>
            </w:r>
          </w:p>
        </w:tc>
        <w:tc>
          <w:tcPr>
            <w:tcW w:type="dxa" w:w="3314"/>
          </w:tcPr>
          <w:p>
            <w:pPr>
              <w:spacing w:after="0"/>
            </w:pPr>
            <w:r>
              <w:rPr>
                <w:sz w:val="20"/>
              </w:rPr>
              <w:t>≈20 МБ [2]</w:t>
            </w:r>
          </w:p>
        </w:tc>
        <w:tc>
          <w:tcPr>
            <w:tcW w:type="dxa" w:w="2559"/>
          </w:tcPr>
          <w:p>
            <w:pPr>
              <w:spacing w:after="0"/>
            </w:pPr>
            <w:r>
              <w:rPr>
                <w:sz w:val="20"/>
              </w:rPr>
              <w:t>сборка musl статическая — должна запускаться (сборка gnu — нет)</w:t>
            </w:r>
          </w:p>
        </w:tc>
      </w:tr>
      <w:tr>
        <w:tc>
          <w:tcPr>
            <w:tcW w:type="dxa" w:w="1619"/>
          </w:tcPr>
          <w:p>
            <w:pPr>
              <w:spacing w:after="0"/>
            </w:pPr>
            <w:r>
              <w:rPr>
                <w:sz w:val="20"/>
              </w:rPr>
              <w:t>ros-mcp-server</w:t>
            </w:r>
          </w:p>
        </w:tc>
        <w:tc>
          <w:tcPr>
            <w:tcW w:type="dxa" w:w="2033"/>
          </w:tcPr>
          <w:p>
            <w:pPr>
              <w:spacing w:after="0"/>
            </w:pPr>
            <w:r>
              <w:rPr>
                <w:sz w:val="20"/>
              </w:rPr>
              <w:t>Python, MCP-мост к роботу через rosbridge</w:t>
            </w:r>
          </w:p>
        </w:tc>
        <w:tc>
          <w:tcPr>
            <w:tcW w:type="dxa" w:w="3314"/>
          </w:tcPr>
          <w:p>
            <w:pPr>
              <w:spacing w:after="0"/>
            </w:pPr>
            <w:r>
              <w:rPr>
                <w:sz w:val="20"/>
              </w:rPr>
              <w:t>≈110 МиБ (собственный замер)</w:t>
            </w:r>
          </w:p>
        </w:tc>
        <w:tc>
          <w:tcPr>
            <w:tcW w:type="dxa" w:w="2559"/>
          </w:tcPr>
          <w:p>
            <w:pPr>
              <w:spacing w:after="0"/>
            </w:pPr>
            <w:r>
              <w:rPr>
                <w:sz w:val="20"/>
              </w:rPr>
              <w:t>—</w:t>
            </w:r>
          </w:p>
        </w:tc>
      </w:tr>
    </w:tbl>
    <w:p>
      <w:pPr>
        <w:spacing w:after="40"/>
      </w:pPr>
    </w:p>
    <w:p>
      <w:r>
        <w:rPr>
          <w:color w:val="5B6170"/>
          <w:sz w:val="20"/>
        </w:rPr>
        <w:t>Какие приёмы экономии уже есть у аналогов: фильтр «будить ли модель» (NanoClaw), правила, которые модель создаёт один раз и которые затем исполняются без неё, событийные триггеры вместо опроса, облегчённый контекст фоновой проверки, лимиты вызовов, отложенная загрузка описаний инструментов. Эти приёмы в работе не выдаются за новые; измеряется, когда и насколько каждый из них окупается. Чего у PicoClaw и nanobot нет (проверено по их коду): их MCP-клиенты берут у сервера только инструменты и не подписываются на изменения ресурсов, поэтому события датчиков до них сами не доходят — на стенде их доставляет внешний фильтр.</w:t>
      </w:r>
    </w:p>
    <w:p>
      <w:pPr>
        <w:pStyle w:val="Heading2"/>
      </w:pPr>
      <w:r>
        <w:rPr>
          <w:color w:val="1F4E8C"/>
        </w:rPr>
        <w:t>3. Почему языковая модель внешняя (как и решили на встрече)</w:t>
      </w:r>
    </w:p>
    <w:p>
      <w:pPr>
        <w:pStyle w:val="ListBullet"/>
      </w:pPr>
      <w:r>
        <w:t>На одноплатнике с несколькими гигабайтами памяти практически пригодны модели примерно до 1,5 млрд параметров, но и они медленные: на Raspberry Pi 5 — 5–15 токенов в секунду [3]; на оригинальном Jetson Nano модели около 1 млрд параметров дают 4–7 токенов в секунду (любительские замеры сообщества).</w:t>
      </w:r>
    </w:p>
    <w:p>
      <w:pPr>
        <w:pStyle w:val="ListBullet"/>
      </w:pPr>
      <w:r>
        <w:t>В независимом замере на Raspberry Pi 4 ни один из агентов не справился с задачами на локальных малых моделях (Qwen2.5-1.5B, SmolLM2-360M) [2].</w:t>
      </w:r>
    </w:p>
    <w:p>
      <w:pPr>
        <w:pStyle w:val="ListBullet"/>
      </w:pPr>
      <w:r>
        <w:t>В реальных умных домах облачные модели выбирают заметно чаще локальных: по данным открытой аналитики Home Assistant, интеграцию Gemini используют около 34,8 тыс. установок, OpenAI — 24,5 тыс., локальную Ollama — 12,6 тыс.</w:t>
      </w:r>
    </w:p>
    <w:p>
      <w:pPr>
        <w:pStyle w:val="Heading2"/>
      </w:pPr>
      <w:r>
        <w:rPr>
          <w:color w:val="1F4E8C"/>
        </w:rPr>
        <w:t>4. Протокол MCP и «контекст оборудования»</w:t>
      </w:r>
    </w:p>
    <w:p>
      <w:r>
        <w:t xml:space="preserve">MCP (Model Context Protocol) — открытый протокол, по которому агент получает от серверов </w:t>
      </w:r>
      <w:r>
        <w:rPr>
          <w:b/>
        </w:rPr>
        <w:t>инструменты</w:t>
      </w:r>
      <w:r>
        <w:t xml:space="preserve"> (вызвать функцию: прочитать датчик, включить реле, поехать к точке) и </w:t>
      </w:r>
      <w:r>
        <w:rPr>
          <w:b/>
        </w:rPr>
        <w:t>ресурсы</w:t>
      </w:r>
      <w:r>
        <w:t xml:space="preserve"> (данные, на изменения которых можно подписаться). В 2025–2026 гг. он стал стандартом де-факто для доступа агентов к оборудованию: MCP-сервер Home Assistant (около 25,8 тыс. установок), ros-mcp-server для роботов, xiaozhi-esp32 для микроконтроллеров [4, 5]. Практика подтверждает топологию, выбранную в работе: на стороне оборудования работает MCP-сервер, агент выступает клиентом.</w:t>
      </w:r>
    </w:p>
    <w:p>
      <w:pPr>
        <w:pStyle w:val="Heading2"/>
      </w:pPr>
      <w:r>
        <w:rPr>
          <w:color w:val="1F4E8C"/>
        </w:rPr>
        <w:t>5. Что я взял из научных работ</w:t>
      </w:r>
    </w:p>
    <w:p>
      <w:pPr>
        <w:pStyle w:val="ListBullet"/>
      </w:pPr>
      <w:r>
        <w:rPr>
          <w:b/>
        </w:rPr>
        <w:t>Определения</w:t>
      </w:r>
      <w:r>
        <w:t xml:space="preserve"> граничного ИИ и агента [6, 7]; многоуровневая архитектура, в которой нижние уровни работают без «рассуждающего» модуля [8].</w:t>
      </w:r>
    </w:p>
    <w:p>
      <w:pPr>
        <w:pStyle w:val="ListBullet"/>
      </w:pPr>
      <w:r>
        <w:rPr>
          <w:b/>
        </w:rPr>
        <w:t>Оценка агентов по затратам</w:t>
      </w:r>
      <w:r>
        <w:t>, а не только по точности, с обязательным простым базовым вариантом [9].</w:t>
      </w:r>
    </w:p>
    <w:p>
      <w:pPr>
        <w:pStyle w:val="ListBullet"/>
      </w:pPr>
      <w:r>
        <w:rPr>
          <w:b/>
        </w:rPr>
        <w:t>Реалистичная нагрузка дня</w:t>
      </w:r>
      <w:r>
        <w:t>: частота команд голосовым ассистентам из многомесячного исследования 88 домов (в среднем 2,6; 5,6 и 30 команд в сутки у разных групп пользователей) [10] и записи датчиков реальных домов CASAS [11].</w:t>
      </w:r>
    </w:p>
    <w:p>
      <w:pPr>
        <w:pStyle w:val="ListBullet"/>
      </w:pPr>
      <w:r>
        <w:rPr>
          <w:b/>
        </w:rPr>
        <w:t>Сокращение истории</w:t>
      </w:r>
      <w:r>
        <w:t>: простое скрытие старых результатов инструментов не хуже составления сводки моделью и дешевле [12].</w:t>
      </w:r>
    </w:p>
    <w:p>
      <w:pPr>
        <w:pStyle w:val="ListBullet"/>
      </w:pPr>
      <w:r>
        <w:rPr>
          <w:b/>
        </w:rPr>
        <w:t>Безопасность приводов</w:t>
      </w:r>
      <w:r>
        <w:t>: правила, записанные в запросе, модель соблюдает не полностью, поэтому нужен отдельный детерминированный модуль проверки [13].</w:t>
      </w:r>
    </w:p>
    <w:p>
      <w:pPr>
        <w:pStyle w:val="ListBullet"/>
      </w:pPr>
      <w:r>
        <w:rPr>
          <w:b/>
        </w:rPr>
        <w:t>MCP для датчиков</w:t>
      </w:r>
      <w:r>
        <w:t xml:space="preserve"> на граничных узлах: среднее время ответа 205 мс, 12-часовой прогон, но без учёта токенов и стоимости [5].</w:t>
      </w:r>
    </w:p>
    <w:p>
      <w:pPr>
        <w:pStyle w:val="ListBullet"/>
      </w:pPr>
      <w:r>
        <w:rPr>
          <w:b/>
        </w:rPr>
        <w:t>Бенчмарки умного дома</w:t>
      </w:r>
      <w:r>
        <w:t xml:space="preserve"> для формулировки задач и проверки по итоговому состоянию устройств [14, 15].</w:t>
      </w:r>
    </w:p>
    <w:p>
      <w:pPr>
        <w:pStyle w:val="Heading2"/>
      </w:pPr>
      <w:r>
        <w:rPr>
          <w:color w:val="1F4E8C"/>
        </w:rPr>
        <w:t>6. Пробел, который закрывает работа</w:t>
      </w:r>
    </w:p>
    <w:p>
      <w:r>
        <w:t>Существующие решения либо ориентированы на функциональность и считают в лучшем случае токены и стоимость отдельных запросов (например, /usage cost в OpenClaw), но не профиль затрат и ресурсов платы за многочасовую работу (OpenClaw, PicoClaw, nanobot), либо дают доступ к оборудованию без агента и без метрик (ros-mcp-server, MCP-сервер Home Assistant). Независимые измерения агентов этого класса на одноплатниках ограничены отдельными задачами и не охватывают ни многочасовую работу, ни предельно слабое оборудование. Поэтому в работе разрабатывается агент с MCP-доступом к оборудованию и встроенным учётом ресурсов и затрат, а также методика оценки его работы во времени, включая сравнение с аналогами на одной и той же нагрузке.</w:t>
      </w:r>
    </w:p>
    <w:p>
      <w:pPr>
        <w:pStyle w:val="Heading2"/>
      </w:pPr>
      <w:r>
        <w:rPr>
          <w:color w:val="1F4E8C"/>
        </w:rPr>
        <w:t>Источники (основные)</w:t>
      </w:r>
    </w:p>
    <w:p>
      <w:pPr>
        <w:ind w:left="510" w:hanging="397"/>
      </w:pPr>
      <w:r>
        <w:t xml:space="preserve">1. </w:t>
      </w:r>
      <w:r>
        <w:t>Salman A. Resource Constraints and Performance in Agentic AI Systems / A. Salman, M. Halgamuge, T. Susnjak. – 2026. – arXiv:2608.27886 (препринт).</w:t>
      </w:r>
    </w:p>
    <w:p>
      <w:pPr>
        <w:ind w:left="510" w:hanging="397"/>
      </w:pPr>
      <w:r>
        <w:t xml:space="preserve">2. </w:t>
      </w:r>
      <w:r>
        <w:t>Dehigaspitiyage Don S. Y. Benchmarking Lightweight AI-Agent Frameworks on a 2 GB Raspberry Pi 4: Framework Overhead, Offline Feasibility, and Fleet Density. – Zenodo, 2026. – DOI 10.5281/zenodo.20593332 (препринт).</w:t>
      </w:r>
    </w:p>
    <w:p>
      <w:pPr>
        <w:ind w:left="510" w:hanging="397"/>
      </w:pPr>
      <w:r>
        <w:t xml:space="preserve">3. </w:t>
      </w:r>
      <w:r>
        <w:t>Nguyen T. An Evaluation of LLMs Inference on Popular Single-board Computers / T. Nguyen, T. Nguyen. – 2025. – arXiv:2511.07425 (препринт).</w:t>
      </w:r>
    </w:p>
    <w:p>
      <w:pPr>
        <w:ind w:left="510" w:hanging="397"/>
      </w:pPr>
      <w:r>
        <w:t xml:space="preserve">4. </w:t>
      </w:r>
      <w:r>
        <w:t>Model Context Protocol : specification, version 2025-11-25. – URL: https://modelcontextprotocol.io/specification/2025-11-25 (дата обращения: 06.10.2026).</w:t>
      </w:r>
    </w:p>
    <w:p>
      <w:pPr>
        <w:ind w:left="510" w:hanging="397"/>
      </w:pPr>
      <w:r>
        <w:t xml:space="preserve">5. </w:t>
      </w:r>
      <w:r>
        <w:t>IoT-MCP: Bridging LLMs and IoT Systems Through Model Context Protocol / N. Yang, G. Lyu, M. Ma [et al.] // Proceedings of WiNTECH '25. – 2025. – P. 73–80. – DOI 10.1145/3737895.3768303.</w:t>
      </w:r>
    </w:p>
    <w:p>
      <w:pPr>
        <w:ind w:left="510" w:hanging="397"/>
      </w:pPr>
      <w:r>
        <w:t xml:space="preserve">6. </w:t>
      </w:r>
      <w:r>
        <w:t>Edge Intelligence: Paving the Last Mile of Artificial Intelligence With Edge Computing / Z. Zhou, X. Chen, E. Li [et al.] // Proceedings of the IEEE. – 2019. – Vol. 107, № 8. – P. 1738–1762. – DOI 10.1109/JPROC.2019.2918951.</w:t>
      </w:r>
    </w:p>
    <w:p>
      <w:pPr>
        <w:ind w:left="510" w:hanging="397"/>
      </w:pPr>
      <w:r>
        <w:t xml:space="preserve">7. </w:t>
      </w:r>
      <w:r>
        <w:t>Wooldridge M. Intelligent agents: theory and practice / M. Wooldridge, N. R. Jennings // The Knowledge Engineering Review. – 1995. – Vol. 10, № 2. – P. 115–152. – DOI 10.1017/S0269888900008122.</w:t>
      </w:r>
    </w:p>
    <w:p>
      <w:pPr>
        <w:ind w:left="510" w:hanging="397"/>
      </w:pPr>
      <w:r>
        <w:t xml:space="preserve">8. </w:t>
      </w:r>
      <w:r>
        <w:t>Brooks R. A. A robust layered control system for a mobile robot // IEEE Journal on Robotics and Automation. – 1986. – Vol. 2, № 1. – P. 14–23. – DOI 10.1109/JRA.1986.1087032.</w:t>
      </w:r>
    </w:p>
    <w:p>
      <w:pPr>
        <w:ind w:left="510" w:hanging="397"/>
      </w:pPr>
      <w:r>
        <w:t xml:space="preserve">9. </w:t>
      </w:r>
      <w:r>
        <w:t>AI Agents That Matter / S. Kapoor, B. Stroebl, Z. S. Siegel [et al.] // Transactions on Machine Learning Research. – 2025. – URL: https://openreview.net/forum?id=Zy4uFzMviZ.</w:t>
      </w:r>
    </w:p>
    <w:p>
      <w:pPr>
        <w:ind w:left="510" w:hanging="397"/>
      </w:pPr>
      <w:r>
        <w:t xml:space="preserve">10. </w:t>
      </w:r>
      <w:r>
        <w:t>Understanding the Long-Term Use of Smart Speaker Assistants / F. Bentley, C. Luvogt, M. Silverman [et al.] // Proceedings of the ACM on IMWUT. – 2018. – Vol. 2, № 3. – Art. 91. – DOI 10.1145/3264901.</w:t>
      </w:r>
    </w:p>
    <w:p>
      <w:pPr>
        <w:ind w:left="510" w:hanging="397"/>
      </w:pPr>
      <w:r>
        <w:t xml:space="preserve">11. </w:t>
      </w:r>
      <w:r>
        <w:t>CASAS: A Smart Home in a Box / D. J. Cook, A. S. Crandall, B. L. Thomas, N. C. Krishnan // Computer. – 2013. – Vol. 46, № 7. – P. 62–69. – DOI 10.1109/MC.2012.328.</w:t>
      </w:r>
    </w:p>
    <w:p>
      <w:pPr>
        <w:ind w:left="510" w:hanging="397"/>
      </w:pPr>
      <w:r>
        <w:t xml:space="preserve">12. </w:t>
      </w:r>
      <w:r>
        <w:t>The Complexity Trap: Simple Observation Masking Is as Efficient as LLM Summarization for Agent Context Management / T. Lindenbauer, I. Slinko, L. Felder [et al.] // DL4C Workshop at NeurIPS 2025. – 2025. – URL: https://openreview.net/forum?id=OHVzruJl5k.</w:t>
      </w:r>
    </w:p>
    <w:p>
      <w:pPr>
        <w:ind w:left="510" w:hanging="397"/>
      </w:pPr>
      <w:r>
        <w:t xml:space="preserve">13. </w:t>
      </w:r>
      <w:r>
        <w:t>Plug in the Safety Chip: Enforcing Constraints for LLM-driven Robot Agents / Z. Yang, S. S. Raman, A. Shah, S. Tellex // ICRA 2024. – 2024. – P. 14435–14442. – DOI 10.1109/ICRA57147.2024.10611447.</w:t>
      </w:r>
    </w:p>
    <w:p>
      <w:pPr>
        <w:ind w:left="510" w:hanging="397"/>
      </w:pPr>
      <w:r>
        <w:t xml:space="preserve">14. </w:t>
      </w:r>
      <w:r>
        <w:t>SimuHome: A Temporal- and Environment-Aware Benchmark for Smart Home LLM Agents / G. Seo, J. Yang, J. Pyo [et al.] // ICLR 2026. – 2026. – URL: https://openreview.net/forum?id=LCS1WsGvha.</w:t>
      </w:r>
    </w:p>
    <w:p>
      <w:pPr>
        <w:ind w:left="510" w:hanging="397"/>
      </w:pPr>
      <w:r>
        <w:t xml:space="preserve">15. </w:t>
      </w:r>
      <w:r>
        <w:t>HomeBench: Evaluating LLMs in Smart Homes with Valid and Invalid Instructions Across Single and Multiple Devices / S. Li, Y. Guo, J. Yao [et al.] // Proceedings of ACL 2025 (Volume 1: Long Papers). – 2025. – P. 12230–12250. – DOI 10.18653/v1/2025.acl-long.597.</w:t>
      </w:r>
    </w:p>
    <w:p>
      <w:r>
        <w:rPr>
          <w:color w:val="5B6170"/>
          <w:sz w:val="20"/>
        </w:rPr>
        <w:t xml:space="preserve">Полная карта агентов с проверкой фактов — </w:t>
      </w:r>
      <w:r>
        <w:rPr>
          <w:rFonts w:ascii="Menlo" w:hAnsi="Menlo"/>
          <w:color w:val="5B6170"/>
          <w:sz w:val="20"/>
        </w:rPr>
        <w:t>research/new_topic/landscape/AGENT_LANDSCAPE.md</w:t>
      </w:r>
      <w:r>
        <w:rPr>
          <w:color w:val="5B6170"/>
          <w:sz w:val="20"/>
        </w:rPr>
        <w:t xml:space="preserve">; полный список проверенных источников — </w:t>
      </w:r>
      <w:r>
        <w:rPr>
          <w:rFonts w:ascii="Menlo" w:hAnsi="Menlo"/>
          <w:color w:val="5B6170"/>
          <w:sz w:val="20"/>
        </w:rPr>
        <w:t>research/new_topic/SOURCES.md</w:t>
      </w:r>
      <w:r>
        <w:rPr>
          <w:color w:val="5B6170"/>
          <w:sz w:val="20"/>
        </w:rPr>
        <w:t>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Обзор аналогов</dc:title>
  <dc:subject/>
  <dc:creator>Евстигнеев Н. А.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