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FDF" w14:textId="78F5D2EA" w:rsidR="003646A1" w:rsidRDefault="00D14C22" w:rsidP="00AF68FF">
      <w:pPr>
        <w:pStyle w:val="Heading1"/>
      </w:pPr>
      <w:r>
        <w:t>1</w:t>
      </w:r>
      <w:r w:rsidR="00FB4782">
        <w:t>1</w:t>
      </w:r>
      <w:r w:rsidR="00AF68FF">
        <w:t xml:space="preserve">: </w:t>
      </w:r>
      <w:r>
        <w:t>Instrumental Variables</w:t>
      </w:r>
      <w:r w:rsidR="00FB4782">
        <w:t xml:space="preserve"> and RDD Part 2</w:t>
      </w:r>
    </w:p>
    <w:p w14:paraId="09A958D1" w14:textId="0F276216" w:rsidR="00FB4782" w:rsidRDefault="00FB4782" w:rsidP="00FB4782">
      <w:pPr>
        <w:pStyle w:val="Heading2"/>
      </w:pPr>
      <w:r>
        <w:t>Introduction</w:t>
      </w:r>
    </w:p>
    <w:p w14:paraId="74EAA53B" w14:textId="3E36DF6F" w:rsidR="00FB4782" w:rsidRDefault="00FB4782" w:rsidP="00FB4782">
      <w:pPr>
        <w:pStyle w:val="ListParagraph"/>
        <w:numPr>
          <w:ilvl w:val="0"/>
          <w:numId w:val="5"/>
        </w:numPr>
      </w:pPr>
      <w:r>
        <w:t>In real-life, it’s rarely the case that there are no non-compliers in a RDD analysis.</w:t>
      </w:r>
    </w:p>
    <w:p w14:paraId="5A268036" w14:textId="6DBE5E84" w:rsidR="00FB4782" w:rsidRDefault="00FB4782" w:rsidP="00FB4782">
      <w:pPr>
        <w:pStyle w:val="ListParagraph"/>
        <w:numPr>
          <w:ilvl w:val="0"/>
          <w:numId w:val="5"/>
        </w:numPr>
      </w:pPr>
      <w:r>
        <w:t>Can use instruments to estimate a discontinuity in this situation.</w:t>
      </w:r>
    </w:p>
    <w:p w14:paraId="3B3CDB80" w14:textId="78CB464F" w:rsidR="00FB4782" w:rsidRDefault="00FB4782" w:rsidP="00FB4782">
      <w:pPr>
        <w:pStyle w:val="ListParagraph"/>
        <w:numPr>
          <w:ilvl w:val="0"/>
          <w:numId w:val="5"/>
        </w:numPr>
      </w:pPr>
      <w:r>
        <w:t>Instruments can be used to help with all sorts of compliance issues.</w:t>
      </w:r>
    </w:p>
    <w:p w14:paraId="29552A3B" w14:textId="08AAA057" w:rsidR="00FB4782" w:rsidRDefault="00FB4782" w:rsidP="00FB4782">
      <w:pPr>
        <w:pStyle w:val="Heading2"/>
      </w:pPr>
      <w:r>
        <w:t>Treatment Effects and Compliance</w:t>
      </w:r>
    </w:p>
    <w:p w14:paraId="14D5EC5F" w14:textId="42CAAE4D" w:rsidR="00FB4782" w:rsidRDefault="00FB4782" w:rsidP="00FB4782">
      <w:pPr>
        <w:pStyle w:val="ListParagraph"/>
        <w:numPr>
          <w:ilvl w:val="0"/>
          <w:numId w:val="5"/>
        </w:numPr>
      </w:pPr>
      <w:r>
        <w:t>Compliance affects the types of effects we can estimate in a causal inference analysis.</w:t>
      </w:r>
    </w:p>
    <w:p w14:paraId="748D9384" w14:textId="1AEF3D8A" w:rsidR="00FB4782" w:rsidRDefault="00FB4782" w:rsidP="00FB4782">
      <w:pPr>
        <w:pStyle w:val="ListParagraph"/>
        <w:numPr>
          <w:ilvl w:val="0"/>
          <w:numId w:val="5"/>
        </w:numPr>
      </w:pPr>
      <w:r>
        <w:t>We use ATEs to estimate intervention effects because we can’t observe individual-level counterfactuals.</w:t>
      </w:r>
    </w:p>
    <w:p w14:paraId="67189E16" w14:textId="442A27AC" w:rsidR="00FB4782" w:rsidRDefault="00FB4782" w:rsidP="00FB4782">
      <w:pPr>
        <w:pStyle w:val="ListParagraph"/>
        <w:numPr>
          <w:ilvl w:val="0"/>
          <w:numId w:val="5"/>
        </w:numPr>
      </w:pPr>
      <w:r>
        <w:t>Ideally wish to estimate a population-level effect, but that can be tricky to do. This means more often other causal effects such as ATT or CATE are estimated.</w:t>
      </w:r>
    </w:p>
    <w:p w14:paraId="2040BAD7" w14:textId="68DCA56C" w:rsidR="00FB4782" w:rsidRDefault="00FB4782" w:rsidP="00FB4782">
      <w:pPr>
        <w:pStyle w:val="ListParagraph"/>
        <w:numPr>
          <w:ilvl w:val="0"/>
          <w:numId w:val="5"/>
        </w:numPr>
      </w:pPr>
      <w:r>
        <w:t>In RDD, you estimate a local ATE as you’re only looking at the causal effect for individuals within a specified bandwidth. This means you can’t generalise to the broader population.</w:t>
      </w:r>
    </w:p>
    <w:p w14:paraId="73C30E27" w14:textId="191C48DE" w:rsidR="00FB4782" w:rsidRDefault="00FB4782" w:rsidP="00FB4782">
      <w:pPr>
        <w:pStyle w:val="ListParagraph"/>
        <w:numPr>
          <w:ilvl w:val="1"/>
          <w:numId w:val="5"/>
        </w:numPr>
      </w:pPr>
      <w:r>
        <w:t xml:space="preserve">Often this can be okay, even when performing something like </w:t>
      </w:r>
      <w:proofErr w:type="spellStart"/>
      <w:r>
        <w:t>DiD</w:t>
      </w:r>
      <w:proofErr w:type="spellEnd"/>
      <w:r>
        <w:t>.</w:t>
      </w:r>
    </w:p>
    <w:p w14:paraId="694DEF35" w14:textId="0C22BC77" w:rsidR="00D22C74" w:rsidRDefault="00D72BE5" w:rsidP="00D22C74">
      <w:pPr>
        <w:pStyle w:val="ListParagraph"/>
        <w:numPr>
          <w:ilvl w:val="0"/>
          <w:numId w:val="5"/>
        </w:numPr>
      </w:pPr>
      <w:r>
        <w:t>In addition, in IV and RDD analysis, you’re only estimating the effect for compliers.</w:t>
      </w:r>
    </w:p>
    <w:p w14:paraId="2BA4C9C5" w14:textId="24696E57" w:rsidR="00D72BE5" w:rsidRDefault="00D72BE5" w:rsidP="00D22C74">
      <w:pPr>
        <w:pStyle w:val="ListParagraph"/>
        <w:numPr>
          <w:ilvl w:val="0"/>
          <w:numId w:val="5"/>
        </w:numPr>
      </w:pPr>
      <w:r>
        <w:t xml:space="preserve">In causal inference, typically assume that </w:t>
      </w:r>
      <w:proofErr w:type="spellStart"/>
      <w:r>
        <w:t>defiers</w:t>
      </w:r>
      <w:proofErr w:type="spellEnd"/>
      <w:r>
        <w:t xml:space="preserve"> don’t exist or otherwise ignore them.</w:t>
      </w:r>
    </w:p>
    <w:p w14:paraId="7BBABAB8" w14:textId="6B1A2140" w:rsidR="00D72BE5" w:rsidRDefault="00D72BE5" w:rsidP="00D72BE5">
      <w:pPr>
        <w:pStyle w:val="ListParagraph"/>
        <w:numPr>
          <w:ilvl w:val="1"/>
          <w:numId w:val="5"/>
        </w:numPr>
      </w:pPr>
      <w:r>
        <w:t>Fairly safe assumption.</w:t>
      </w:r>
    </w:p>
    <w:p w14:paraId="647A8371" w14:textId="7AF5D9C0" w:rsidR="00D72BE5" w:rsidRDefault="00D72BE5" w:rsidP="00D72BE5">
      <w:pPr>
        <w:pStyle w:val="ListParagraph"/>
        <w:numPr>
          <w:ilvl w:val="0"/>
          <w:numId w:val="5"/>
        </w:numPr>
      </w:pPr>
      <w:r>
        <w:t>Those assigned to the treatment group and take it could be a complier OR always taker and can’t determine for sure.</w:t>
      </w:r>
    </w:p>
    <w:p w14:paraId="44AFA72A" w14:textId="3623B28A" w:rsidR="00D72BE5" w:rsidRDefault="00D72BE5" w:rsidP="00D72BE5">
      <w:pPr>
        <w:pStyle w:val="ListParagraph"/>
        <w:numPr>
          <w:ilvl w:val="0"/>
          <w:numId w:val="5"/>
        </w:numPr>
      </w:pPr>
      <w:r>
        <w:t xml:space="preserve">Those assigned to the treatment group and don’t take it are generally assumed to be a never-taker (in the world where </w:t>
      </w:r>
      <w:proofErr w:type="spellStart"/>
      <w:r>
        <w:t>defiers</w:t>
      </w:r>
      <w:proofErr w:type="spellEnd"/>
      <w:r>
        <w:t xml:space="preserve"> don’t exist).</w:t>
      </w:r>
    </w:p>
    <w:p w14:paraId="12853067" w14:textId="3DA216C9" w:rsidR="00D72BE5" w:rsidRDefault="00D72BE5" w:rsidP="00D72BE5">
      <w:pPr>
        <w:pStyle w:val="ListParagraph"/>
        <w:numPr>
          <w:ilvl w:val="0"/>
          <w:numId w:val="5"/>
        </w:numPr>
      </w:pPr>
      <w:r>
        <w:t>Those assigned to the control group and don’t take it are assumed to be compliers or never takers. Again, we don’t know for sure which they are.</w:t>
      </w:r>
    </w:p>
    <w:p w14:paraId="08A418C0" w14:textId="43B7C7F5" w:rsidR="00D72BE5" w:rsidRDefault="00D72BE5" w:rsidP="00D72BE5">
      <w:pPr>
        <w:pStyle w:val="ListParagraph"/>
        <w:numPr>
          <w:ilvl w:val="0"/>
          <w:numId w:val="5"/>
        </w:numPr>
      </w:pPr>
      <w:r>
        <w:t xml:space="preserve">Those assigned to the control group and somehow get the treatment are assumed to be always takers (again in a world where </w:t>
      </w:r>
      <w:proofErr w:type="spellStart"/>
      <w:r>
        <w:t>defiers</w:t>
      </w:r>
      <w:proofErr w:type="spellEnd"/>
      <w:r>
        <w:t xml:space="preserve"> don’t exist).</w:t>
      </w:r>
    </w:p>
    <w:p w14:paraId="7C7EDB77" w14:textId="0A942174" w:rsidR="00D72BE5" w:rsidRDefault="00D72BE5" w:rsidP="00D72BE5">
      <w:pPr>
        <w:pStyle w:val="ListParagraph"/>
        <w:numPr>
          <w:ilvl w:val="0"/>
          <w:numId w:val="5"/>
        </w:numPr>
      </w:pPr>
      <w:r>
        <w:t>Want to analyse the compliers, but they’re always wrapped up together with another group.</w:t>
      </w:r>
    </w:p>
    <w:p w14:paraId="6FD40485" w14:textId="419A1EAF" w:rsidR="003A0427" w:rsidRDefault="003A0427" w:rsidP="003A0427">
      <w:pPr>
        <w:pStyle w:val="Heading3"/>
      </w:pPr>
      <w:r>
        <w:t>Intent to Treat (ITT)</w:t>
      </w:r>
    </w:p>
    <w:p w14:paraId="5097FB96" w14:textId="023960F9" w:rsidR="003A0427" w:rsidRDefault="003A0427" w:rsidP="003A0427">
      <w:pPr>
        <w:pStyle w:val="ListParagraph"/>
        <w:numPr>
          <w:ilvl w:val="0"/>
          <w:numId w:val="5"/>
        </w:numPr>
      </w:pPr>
      <w:r>
        <w:t>Analyses the effect of those assigned to treatment irrespective of what they actually end up doing, which removes the issue of compliers and always takers.</w:t>
      </w:r>
    </w:p>
    <w:p w14:paraId="516CBAFB" w14:textId="765D6787" w:rsidR="003A0427" w:rsidRDefault="003A0427" w:rsidP="003A0427">
      <w:pPr>
        <w:pStyle w:val="ListParagraph"/>
        <w:numPr>
          <w:ilvl w:val="0"/>
          <w:numId w:val="5"/>
        </w:numPr>
      </w:pPr>
      <w:r>
        <w:t>However, doesn’t really get at the issue of whether the intervention had any effect/work.</w:t>
      </w:r>
    </w:p>
    <w:p w14:paraId="7859A891" w14:textId="79D2C6D6" w:rsidR="003A0427" w:rsidRDefault="003A0427" w:rsidP="003A0427">
      <w:pPr>
        <w:pStyle w:val="ListParagraph"/>
        <w:numPr>
          <w:ilvl w:val="0"/>
          <w:numId w:val="5"/>
        </w:numPr>
      </w:pPr>
      <w:r>
        <w:t>Can only say something about whether treatment assignment had any effect.</w:t>
      </w:r>
    </w:p>
    <w:p w14:paraId="26230857" w14:textId="0329F36A" w:rsidR="003A0427" w:rsidRDefault="003A0427" w:rsidP="003A0427">
      <w:pPr>
        <w:pStyle w:val="Heading3"/>
      </w:pPr>
      <w:r>
        <w:t>Complier Average Causal Effect (CACE)</w:t>
      </w:r>
    </w:p>
    <w:p w14:paraId="7B6BCD78" w14:textId="0414987E" w:rsidR="003A0427" w:rsidRDefault="003A0427" w:rsidP="003A0427">
      <w:pPr>
        <w:pStyle w:val="ListParagraph"/>
        <w:numPr>
          <w:ilvl w:val="0"/>
          <w:numId w:val="5"/>
        </w:numPr>
      </w:pPr>
      <w:r>
        <w:t>A type of conditional ATE.</w:t>
      </w:r>
    </w:p>
    <w:p w14:paraId="252AC78E" w14:textId="639B301E" w:rsidR="003A0427" w:rsidRDefault="003A0427" w:rsidP="003A0427">
      <w:pPr>
        <w:pStyle w:val="ListParagraph"/>
        <w:numPr>
          <w:ilvl w:val="0"/>
          <w:numId w:val="5"/>
        </w:numPr>
      </w:pPr>
      <w:r>
        <w:t>Need to disentangle them from the always takers in the treatment group, which can be tricky</w:t>
      </w:r>
      <w:r w:rsidR="00F8236D">
        <w:t xml:space="preserve"> (but not impossible)</w:t>
      </w:r>
      <w:r>
        <w:t>.</w:t>
      </w:r>
    </w:p>
    <w:p w14:paraId="5391ED3A" w14:textId="6CA9A5C3" w:rsidR="00F8236D" w:rsidRDefault="00F8236D" w:rsidP="003A0427">
      <w:pPr>
        <w:pStyle w:val="ListParagraph"/>
        <w:numPr>
          <w:ilvl w:val="0"/>
          <w:numId w:val="5"/>
        </w:numPr>
      </w:pPr>
      <w:r>
        <w:t>If you can’t read people’s minds, it doesn’t appear as though the intervention had any significant impact.</w:t>
      </w:r>
    </w:p>
    <w:p w14:paraId="43491D87" w14:textId="7F5373C7" w:rsidR="002711E7" w:rsidRDefault="002711E7" w:rsidP="003A0427">
      <w:pPr>
        <w:pStyle w:val="ListParagraph"/>
        <w:numPr>
          <w:ilvl w:val="0"/>
          <w:numId w:val="5"/>
        </w:numPr>
      </w:pPr>
      <w:r>
        <w:t>The ITT effect is the combined effect of the compliers, always takers and never takers.</w:t>
      </w:r>
    </w:p>
    <w:p w14:paraId="3F8DA602" w14:textId="6619FE3A" w:rsidR="002711E7" w:rsidRPr="002711E7" w:rsidRDefault="002711E7" w:rsidP="002711E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ITT=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compliers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T-C</m:t>
                </m:r>
              </m:e>
            </m:d>
          </m:e>
          <m:sub>
            <m:r>
              <w:rPr>
                <w:rFonts w:ascii="Cambria Math" w:hAnsi="Cambria Math"/>
              </w:rPr>
              <m:t>compliers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always takers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T-C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always takers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never takers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T-C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never takers</m:t>
            </m:r>
          </m:sub>
        </m:sSub>
      </m:oMath>
    </w:p>
    <w:p w14:paraId="0E3ADA34" w14:textId="7865483B" w:rsidR="002711E7" w:rsidRDefault="002711E7" w:rsidP="002711E7">
      <w:pPr>
        <w:pStyle w:val="ListParagraph"/>
        <w:numPr>
          <w:ilvl w:val="1"/>
          <w:numId w:val="5"/>
        </w:numPr>
      </w:pPr>
      <w:r>
        <w:t>Weighted sum of the respective effects by the proportion of each group in the sample.</w:t>
      </w:r>
    </w:p>
    <w:p w14:paraId="6090E868" w14:textId="6CA129F8" w:rsidR="002711E7" w:rsidRPr="002711E7" w:rsidRDefault="002711E7" w:rsidP="002711E7">
      <w:pPr>
        <w:pStyle w:val="ListParagraph"/>
        <w:numPr>
          <w:ilvl w:val="1"/>
          <w:numId w:val="5"/>
        </w:numPr>
      </w:pPr>
      <w:r>
        <w:t xml:space="preserve">The goal 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CACE</m:t>
        </m:r>
      </m:oMath>
      <w:r>
        <w:rPr>
          <w:rFonts w:eastAsiaTheme="minorEastAsia"/>
        </w:rPr>
        <w:t>, which means we somehow need to mathematically calculate or otherwise remove the other causal effects in the equation.</w:t>
      </w:r>
    </w:p>
    <w:p w14:paraId="7DD3FD9C" w14:textId="23201BF8" w:rsidR="002711E7" w:rsidRPr="002711E7" w:rsidRDefault="002711E7" w:rsidP="002711E7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lastRenderedPageBreak/>
        <w:t>Perform some mathematical trickery to get to this i.e. the effect of the program should theoretically be 0 for always takers (because the difference between the treatment and control average will be essentially the same) and similarly for never takers.</w:t>
      </w:r>
    </w:p>
    <w:p w14:paraId="21DDD149" w14:textId="258F9788" w:rsidR="002711E7" w:rsidRDefault="00BB31D8" w:rsidP="002711E7">
      <w:pPr>
        <w:pStyle w:val="ListParagraph"/>
        <w:numPr>
          <w:ilvl w:val="1"/>
          <w:numId w:val="5"/>
        </w:numPr>
      </w:pPr>
      <w:r>
        <w:t>The ITT and the proportion of compliers are both numbers that can be calculated from the existing data.</w:t>
      </w:r>
    </w:p>
    <w:p w14:paraId="10B5064A" w14:textId="1DB4449D" w:rsidR="00BB31D8" w:rsidRDefault="00BB31D8" w:rsidP="00BB31D8">
      <w:pPr>
        <w:pStyle w:val="Heading3"/>
      </w:pPr>
      <w:r>
        <w:t>Finding the ITT</w:t>
      </w:r>
    </w:p>
    <w:p w14:paraId="27B8F69B" w14:textId="7E52125A" w:rsidR="00BB31D8" w:rsidRDefault="00BB31D8" w:rsidP="00BB31D8">
      <w:pPr>
        <w:pStyle w:val="ListParagraph"/>
        <w:numPr>
          <w:ilvl w:val="0"/>
          <w:numId w:val="5"/>
        </w:numPr>
      </w:pPr>
      <w:r>
        <w:t>Fairly easy to accomplish.</w:t>
      </w:r>
    </w:p>
    <w:p w14:paraId="2D970673" w14:textId="182F7972" w:rsidR="00BB31D8" w:rsidRPr="00BB31D8" w:rsidRDefault="00BB31D8" w:rsidP="00BB31D8">
      <w:pPr>
        <w:pStyle w:val="Heading3"/>
      </w:pPr>
      <w:r>
        <w:t xml:space="preserve">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052D591" w14:textId="177AD0DB" w:rsidR="00BB31D8" w:rsidRPr="00BB31D8" w:rsidRDefault="00BB31D8" w:rsidP="00BB31D8">
      <w:pPr>
        <w:pStyle w:val="ListParagraph"/>
        <w:numPr>
          <w:ilvl w:val="0"/>
          <w:numId w:val="5"/>
        </w:numPr>
      </w:pPr>
      <w:r>
        <w:t xml:space="preserve">Accomplished by 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, which relies on one crucial assumption: the proportion of always and never takers are the same across the treatment and control groups.</w:t>
      </w:r>
    </w:p>
    <w:p w14:paraId="5DAB2751" w14:textId="1D26FC25" w:rsidR="00BB31D8" w:rsidRDefault="00BB31D8" w:rsidP="00BB31D8">
      <w:pPr>
        <w:pStyle w:val="ListParagraph"/>
        <w:numPr>
          <w:ilvl w:val="1"/>
          <w:numId w:val="5"/>
        </w:numPr>
      </w:pPr>
      <w:r>
        <w:t>i.e. 50% of always takers are in the control group and 50% are in the treatment group.</w:t>
      </w:r>
    </w:p>
    <w:p w14:paraId="7BA3D1A8" w14:textId="6684CB06" w:rsidR="00BB31D8" w:rsidRDefault="00BB31D8" w:rsidP="00BB31D8">
      <w:pPr>
        <w:pStyle w:val="ListParagraph"/>
        <w:numPr>
          <w:ilvl w:val="1"/>
          <w:numId w:val="5"/>
        </w:numPr>
      </w:pPr>
      <w:r>
        <w:t>Hence, because we know the proportion of always takers in the control group, we know what it is in the treatment group.</w:t>
      </w:r>
    </w:p>
    <w:p w14:paraId="0F6DA097" w14:textId="77777777" w:rsidR="004052BE" w:rsidRDefault="004052BE" w:rsidP="004052BE"/>
    <w:p w14:paraId="128874FC" w14:textId="00010116" w:rsidR="004052BE" w:rsidRDefault="004052BE" w:rsidP="004052BE">
      <w:pPr>
        <w:pStyle w:val="ListParagraph"/>
        <w:numPr>
          <w:ilvl w:val="0"/>
          <w:numId w:val="5"/>
        </w:numPr>
      </w:pPr>
      <w:r>
        <w:t xml:space="preserve">Even though we don’t actually know who the always takers and never takers are, in aggregate, as long as making the required assumptions such as no </w:t>
      </w:r>
      <w:proofErr w:type="spellStart"/>
      <w:r>
        <w:t>defiers</w:t>
      </w:r>
      <w:proofErr w:type="spellEnd"/>
      <w:r>
        <w:t xml:space="preserve"> is reasonable, we can calculate the CACE.</w:t>
      </w:r>
    </w:p>
    <w:p w14:paraId="41935354" w14:textId="6ACC6CE0" w:rsidR="004052BE" w:rsidRDefault="004052BE" w:rsidP="004052BE">
      <w:pPr>
        <w:pStyle w:val="ListParagraph"/>
        <w:numPr>
          <w:ilvl w:val="0"/>
          <w:numId w:val="5"/>
        </w:numPr>
      </w:pPr>
      <w:r>
        <w:t>Can do this really fast using an instrument and 2SLS.</w:t>
      </w:r>
    </w:p>
    <w:p w14:paraId="3F79CE41" w14:textId="4BAC00FC" w:rsidR="004052BE" w:rsidRDefault="004052BE" w:rsidP="004052BE">
      <w:pPr>
        <w:pStyle w:val="ListParagraph"/>
        <w:numPr>
          <w:ilvl w:val="0"/>
          <w:numId w:val="5"/>
        </w:numPr>
      </w:pPr>
      <w:r>
        <w:t>Instruments automatically do the whole process for you because that’s actually how 2SLS works behind the scenes.</w:t>
      </w:r>
    </w:p>
    <w:p w14:paraId="20AEAD33" w14:textId="156814E9" w:rsidR="004052BE" w:rsidRDefault="004052BE" w:rsidP="004052BE"/>
    <w:p w14:paraId="6B192CC3" w14:textId="77777777" w:rsidR="00204AD2" w:rsidRDefault="00204A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F6E44B" w14:textId="43428C9D" w:rsidR="004052BE" w:rsidRDefault="004052BE" w:rsidP="004052BE">
      <w:pPr>
        <w:pStyle w:val="Heading2"/>
      </w:pPr>
      <w:r>
        <w:lastRenderedPageBreak/>
        <w:t>Randomised Promotion</w:t>
      </w:r>
    </w:p>
    <w:p w14:paraId="51249E3E" w14:textId="715818ED" w:rsidR="004052BE" w:rsidRDefault="004052BE" w:rsidP="004052BE">
      <w:pPr>
        <w:pStyle w:val="ListParagraph"/>
        <w:numPr>
          <w:ilvl w:val="0"/>
          <w:numId w:val="5"/>
        </w:numPr>
      </w:pPr>
      <w:r>
        <w:t>Can also use instruments in non-conventional ways.</w:t>
      </w:r>
    </w:p>
    <w:p w14:paraId="5BC12A8A" w14:textId="55FB5C36" w:rsidR="004052BE" w:rsidRDefault="004052BE" w:rsidP="004052BE">
      <w:pPr>
        <w:pStyle w:val="ListParagraph"/>
        <w:numPr>
          <w:ilvl w:val="0"/>
          <w:numId w:val="5"/>
        </w:numPr>
      </w:pPr>
      <w:r>
        <w:t>Solution to programs with universal accessibility.</w:t>
      </w:r>
    </w:p>
    <w:p w14:paraId="270D5511" w14:textId="2D255DA7" w:rsidR="004052BE" w:rsidRDefault="004052BE" w:rsidP="004052BE">
      <w:pPr>
        <w:pStyle w:val="ListParagraph"/>
        <w:numPr>
          <w:ilvl w:val="0"/>
          <w:numId w:val="5"/>
        </w:numPr>
      </w:pPr>
      <w:r>
        <w:t>Tricky to measure the causal effect of such programs due to selection bias and likely systematic differences between who opts-in and who doesn’t.</w:t>
      </w:r>
    </w:p>
    <w:p w14:paraId="0D86AB02" w14:textId="75836F81" w:rsidR="004052BE" w:rsidRDefault="004052BE" w:rsidP="004052BE">
      <w:pPr>
        <w:pStyle w:val="ListParagraph"/>
        <w:numPr>
          <w:ilvl w:val="0"/>
          <w:numId w:val="5"/>
        </w:numPr>
      </w:pPr>
      <w:r>
        <w:t>Also can’t do a randomised control trial due to ethics.</w:t>
      </w:r>
    </w:p>
    <w:p w14:paraId="4E599E53" w14:textId="77117DA3" w:rsidR="004052BE" w:rsidRDefault="00204AD2" w:rsidP="004052BE">
      <w:pPr>
        <w:pStyle w:val="ListParagraph"/>
        <w:numPr>
          <w:ilvl w:val="0"/>
          <w:numId w:val="5"/>
        </w:numPr>
      </w:pPr>
      <w:r>
        <w:t>Encouragement doesn’t quite create true treatment and control trials as you can’t force people to comply with the encouragement.</w:t>
      </w:r>
    </w:p>
    <w:p w14:paraId="750DD5BD" w14:textId="25BB9D55" w:rsidR="00204AD2" w:rsidRDefault="00204AD2" w:rsidP="004052BE">
      <w:pPr>
        <w:pStyle w:val="ListParagraph"/>
        <w:numPr>
          <w:ilvl w:val="0"/>
          <w:numId w:val="5"/>
        </w:numPr>
      </w:pPr>
      <w:r>
        <w:t>BUT, it doesn’t work if the encouragement is used as an instrument rather than directly as treatment/control assignment.</w:t>
      </w:r>
    </w:p>
    <w:p w14:paraId="298F9B26" w14:textId="76711816" w:rsidR="00204AD2" w:rsidRDefault="00204AD2" w:rsidP="00204AD2">
      <w:pPr>
        <w:pStyle w:val="ListParagraph"/>
        <w:numPr>
          <w:ilvl w:val="1"/>
          <w:numId w:val="5"/>
        </w:numPr>
      </w:pPr>
      <w:r>
        <w:t>Hence, removes the endogenous part of the group assignment.</w:t>
      </w:r>
    </w:p>
    <w:p w14:paraId="6BB60790" w14:textId="0F0A1C3D" w:rsidR="00204AD2" w:rsidRDefault="00204AD2" w:rsidP="00204AD2">
      <w:pPr>
        <w:pStyle w:val="ListParagraph"/>
        <w:numPr>
          <w:ilvl w:val="0"/>
          <w:numId w:val="5"/>
        </w:numPr>
      </w:pPr>
      <w:r>
        <w:t>It’s not weird, but it does work.</w:t>
      </w:r>
    </w:p>
    <w:p w14:paraId="11EA15D9" w14:textId="166EFACB" w:rsidR="00204AD2" w:rsidRDefault="00204AD2" w:rsidP="00204AD2">
      <w:pPr>
        <w:pStyle w:val="ListParagraph"/>
        <w:numPr>
          <w:ilvl w:val="1"/>
          <w:numId w:val="5"/>
        </w:numPr>
      </w:pPr>
      <w:r>
        <w:t>Relevant</w:t>
      </w:r>
    </w:p>
    <w:p w14:paraId="3A97FE2F" w14:textId="4269C176" w:rsidR="00204AD2" w:rsidRDefault="00204AD2" w:rsidP="00204AD2">
      <w:pPr>
        <w:pStyle w:val="ListParagraph"/>
        <w:numPr>
          <w:ilvl w:val="1"/>
          <w:numId w:val="5"/>
        </w:numPr>
      </w:pPr>
      <w:r>
        <w:t>Clear pathway to the result – encouragement increases the possibility of the individual doing that action.</w:t>
      </w:r>
    </w:p>
    <w:p w14:paraId="6E2FB06B" w14:textId="0EB39C6D" w:rsidR="00204AD2" w:rsidRDefault="00204AD2" w:rsidP="00204AD2">
      <w:pPr>
        <w:pStyle w:val="ListParagraph"/>
        <w:numPr>
          <w:ilvl w:val="1"/>
          <w:numId w:val="5"/>
        </w:numPr>
      </w:pPr>
      <w:r>
        <w:t>Exogenous – get around that through the fact that encouragement is randomised.</w:t>
      </w:r>
    </w:p>
    <w:p w14:paraId="1B84AEDB" w14:textId="7C35D2AA" w:rsidR="00204AD2" w:rsidRDefault="00204AD2" w:rsidP="00204AD2">
      <w:pPr>
        <w:pStyle w:val="ListParagraph"/>
        <w:numPr>
          <w:ilvl w:val="0"/>
          <w:numId w:val="5"/>
        </w:numPr>
      </w:pPr>
      <w:r>
        <w:t>Also gets around the compliance issue.</w:t>
      </w:r>
    </w:p>
    <w:p w14:paraId="37DFC1F0" w14:textId="39D01CB6" w:rsidR="00204AD2" w:rsidRDefault="00204AD2" w:rsidP="00204AD2">
      <w:pPr>
        <w:pStyle w:val="ListParagraph"/>
        <w:numPr>
          <w:ilvl w:val="1"/>
          <w:numId w:val="5"/>
        </w:numPr>
      </w:pPr>
      <w:r>
        <w:t>Can’t find a population level treatment effect, but can find the effect of encouragement on the outcome.</w:t>
      </w:r>
    </w:p>
    <w:p w14:paraId="7FEA4CA1" w14:textId="59CC4BE0" w:rsidR="00204AD2" w:rsidRDefault="00204AD2" w:rsidP="00204AD2">
      <w:pPr>
        <w:pStyle w:val="ListParagraph"/>
        <w:numPr>
          <w:ilvl w:val="0"/>
          <w:numId w:val="5"/>
        </w:numPr>
      </w:pPr>
      <w:r>
        <w:t>Still provides useful information about the effect on individuals who listen to policy/intervention incentives/direction.</w:t>
      </w:r>
    </w:p>
    <w:p w14:paraId="0D87BF92" w14:textId="3FD72ADA" w:rsidR="00204AD2" w:rsidRDefault="00204AD2" w:rsidP="00204AD2">
      <w:pPr>
        <w:pStyle w:val="ListParagraph"/>
        <w:numPr>
          <w:ilvl w:val="0"/>
          <w:numId w:val="5"/>
        </w:numPr>
      </w:pPr>
      <w:r>
        <w:t>Unique and interesting way to analyse the effect of a program on individuals who would use the program without having to resort to a RCT.</w:t>
      </w:r>
    </w:p>
    <w:p w14:paraId="3C93CA55" w14:textId="6336E5FF" w:rsidR="00204AD2" w:rsidRDefault="00204AD2" w:rsidP="00204AD2"/>
    <w:p w14:paraId="4C225901" w14:textId="56615ACC" w:rsidR="00204AD2" w:rsidRDefault="00204AD2" w:rsidP="00204AD2">
      <w:pPr>
        <w:pStyle w:val="Heading2"/>
      </w:pPr>
      <w:r>
        <w:t>Fuzzy Regression Discontinuity</w:t>
      </w:r>
    </w:p>
    <w:p w14:paraId="6FE5176D" w14:textId="73906CED" w:rsidR="00204AD2" w:rsidRDefault="005C3E81" w:rsidP="005C3E81">
      <w:pPr>
        <w:pStyle w:val="ListParagraph"/>
        <w:numPr>
          <w:ilvl w:val="0"/>
          <w:numId w:val="5"/>
        </w:numPr>
      </w:pPr>
      <w:r>
        <w:t>Non-compliers mess up the discontinuity.</w:t>
      </w:r>
    </w:p>
    <w:p w14:paraId="06AFAFF8" w14:textId="437DBF3E" w:rsidR="005C3E81" w:rsidRDefault="005C3E81" w:rsidP="005C3E81">
      <w:pPr>
        <w:pStyle w:val="ListParagraph"/>
        <w:numPr>
          <w:ilvl w:val="0"/>
          <w:numId w:val="5"/>
        </w:numPr>
      </w:pPr>
      <w:r>
        <w:t>Use an instrument to limit the effect at the cut-off to compliers.</w:t>
      </w:r>
    </w:p>
    <w:p w14:paraId="4A1E7C0C" w14:textId="6756CA82" w:rsidR="005C3E81" w:rsidRDefault="005C3E81" w:rsidP="005C3E81">
      <w:pPr>
        <w:pStyle w:val="ListParagraph"/>
        <w:numPr>
          <w:ilvl w:val="0"/>
          <w:numId w:val="5"/>
        </w:numPr>
      </w:pPr>
      <w:r>
        <w:t>This instrument again won’t be weird and is just an indicator variable of what they were supposed to do i.e. TRUE if above the cut-off and FALSE if below the cut-off.</w:t>
      </w:r>
    </w:p>
    <w:p w14:paraId="6C6B76B5" w14:textId="77777777" w:rsidR="005C3E81" w:rsidRPr="00204AD2" w:rsidRDefault="005C3E81" w:rsidP="005C3E81">
      <w:pPr>
        <w:pStyle w:val="ListParagraph"/>
        <w:numPr>
          <w:ilvl w:val="0"/>
          <w:numId w:val="5"/>
        </w:numPr>
      </w:pPr>
    </w:p>
    <w:p w14:paraId="160674AB" w14:textId="38E4C0F7" w:rsidR="003A0427" w:rsidRPr="003A0427" w:rsidRDefault="003A0427" w:rsidP="00F8236D"/>
    <w:sectPr w:rsidR="003A0427" w:rsidRPr="003A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4C22"/>
    <w:multiLevelType w:val="hybridMultilevel"/>
    <w:tmpl w:val="4E6A9A58"/>
    <w:lvl w:ilvl="0" w:tplc="82E02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521F1"/>
    <w:multiLevelType w:val="hybridMultilevel"/>
    <w:tmpl w:val="6A9EBFA0"/>
    <w:lvl w:ilvl="0" w:tplc="939C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32024"/>
    <w:multiLevelType w:val="hybridMultilevel"/>
    <w:tmpl w:val="A12EF4A4"/>
    <w:lvl w:ilvl="0" w:tplc="42008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2256E"/>
    <w:multiLevelType w:val="hybridMultilevel"/>
    <w:tmpl w:val="9078B864"/>
    <w:lvl w:ilvl="0" w:tplc="C06C8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F53F5"/>
    <w:multiLevelType w:val="hybridMultilevel"/>
    <w:tmpl w:val="1B64209A"/>
    <w:lvl w:ilvl="0" w:tplc="4DB22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740">
    <w:abstractNumId w:val="1"/>
  </w:num>
  <w:num w:numId="2" w16cid:durableId="862984331">
    <w:abstractNumId w:val="0"/>
  </w:num>
  <w:num w:numId="3" w16cid:durableId="1449928310">
    <w:abstractNumId w:val="4"/>
  </w:num>
  <w:num w:numId="4" w16cid:durableId="1349328037">
    <w:abstractNumId w:val="2"/>
  </w:num>
  <w:num w:numId="5" w16cid:durableId="1699047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F"/>
    <w:rsid w:val="00005531"/>
    <w:rsid w:val="00023D8F"/>
    <w:rsid w:val="0003484F"/>
    <w:rsid w:val="0004723D"/>
    <w:rsid w:val="00056403"/>
    <w:rsid w:val="000753A9"/>
    <w:rsid w:val="000E29B7"/>
    <w:rsid w:val="000F6805"/>
    <w:rsid w:val="001044FD"/>
    <w:rsid w:val="001A615B"/>
    <w:rsid w:val="001B641D"/>
    <w:rsid w:val="001C4DF5"/>
    <w:rsid w:val="00204AD2"/>
    <w:rsid w:val="002711E7"/>
    <w:rsid w:val="002E6D8A"/>
    <w:rsid w:val="00351802"/>
    <w:rsid w:val="00357099"/>
    <w:rsid w:val="003646A1"/>
    <w:rsid w:val="00366D3E"/>
    <w:rsid w:val="00380378"/>
    <w:rsid w:val="003A0427"/>
    <w:rsid w:val="003C75AF"/>
    <w:rsid w:val="004052BE"/>
    <w:rsid w:val="00415273"/>
    <w:rsid w:val="004823C1"/>
    <w:rsid w:val="004C7928"/>
    <w:rsid w:val="004D27F6"/>
    <w:rsid w:val="00521548"/>
    <w:rsid w:val="005B6922"/>
    <w:rsid w:val="005C3E81"/>
    <w:rsid w:val="00683FE6"/>
    <w:rsid w:val="00686E92"/>
    <w:rsid w:val="006E6A16"/>
    <w:rsid w:val="00723357"/>
    <w:rsid w:val="00752D3A"/>
    <w:rsid w:val="007A7736"/>
    <w:rsid w:val="007B4716"/>
    <w:rsid w:val="007D6ED7"/>
    <w:rsid w:val="007F46EB"/>
    <w:rsid w:val="007F5E8B"/>
    <w:rsid w:val="00837FE9"/>
    <w:rsid w:val="0087601D"/>
    <w:rsid w:val="008D3C38"/>
    <w:rsid w:val="00936A19"/>
    <w:rsid w:val="009746C7"/>
    <w:rsid w:val="00994CC9"/>
    <w:rsid w:val="009D59D2"/>
    <w:rsid w:val="00A15D55"/>
    <w:rsid w:val="00A23E89"/>
    <w:rsid w:val="00A24275"/>
    <w:rsid w:val="00A333E1"/>
    <w:rsid w:val="00A44F71"/>
    <w:rsid w:val="00A763F0"/>
    <w:rsid w:val="00AD0496"/>
    <w:rsid w:val="00AD138D"/>
    <w:rsid w:val="00AF68FF"/>
    <w:rsid w:val="00B10338"/>
    <w:rsid w:val="00B23FA9"/>
    <w:rsid w:val="00B7090C"/>
    <w:rsid w:val="00B774AE"/>
    <w:rsid w:val="00B875FF"/>
    <w:rsid w:val="00BB31D8"/>
    <w:rsid w:val="00BB3859"/>
    <w:rsid w:val="00C06E0E"/>
    <w:rsid w:val="00C06ECC"/>
    <w:rsid w:val="00C21D97"/>
    <w:rsid w:val="00C3055B"/>
    <w:rsid w:val="00C603C9"/>
    <w:rsid w:val="00C8062A"/>
    <w:rsid w:val="00CC096A"/>
    <w:rsid w:val="00D065A3"/>
    <w:rsid w:val="00D14C22"/>
    <w:rsid w:val="00D22C74"/>
    <w:rsid w:val="00D31636"/>
    <w:rsid w:val="00D55024"/>
    <w:rsid w:val="00D72BE5"/>
    <w:rsid w:val="00D7621B"/>
    <w:rsid w:val="00DC3EDB"/>
    <w:rsid w:val="00DF47C3"/>
    <w:rsid w:val="00EA0828"/>
    <w:rsid w:val="00EE7932"/>
    <w:rsid w:val="00F05175"/>
    <w:rsid w:val="00F36A81"/>
    <w:rsid w:val="00F63675"/>
    <w:rsid w:val="00F65B3C"/>
    <w:rsid w:val="00F74EB4"/>
    <w:rsid w:val="00F8236D"/>
    <w:rsid w:val="00FB4782"/>
    <w:rsid w:val="00FE5792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72F"/>
  <w15:chartTrackingRefBased/>
  <w15:docId w15:val="{4DC3E481-8FE3-4C48-A145-F929FD2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8FF"/>
    <w:pPr>
      <w:ind w:left="720"/>
      <w:contextualSpacing/>
    </w:pPr>
  </w:style>
  <w:style w:type="table" w:styleId="TableGrid">
    <w:name w:val="Table Grid"/>
    <w:basedOn w:val="TableNormal"/>
    <w:uiPriority w:val="39"/>
    <w:rsid w:val="00B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3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29</cp:revision>
  <dcterms:created xsi:type="dcterms:W3CDTF">2023-08-07T00:04:00Z</dcterms:created>
  <dcterms:modified xsi:type="dcterms:W3CDTF">2023-09-21T05:57:00Z</dcterms:modified>
</cp:coreProperties>
</file>