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Arquitectura Interna y Análisis Técnico de Servicios SIIF</w:t>
      </w:r>
    </w:p>
    <w:p>
      <w:pPr>
        <w:pStyle w:val="Heading1"/>
      </w:pPr>
      <w:r>
        <w:t>1. Análisis Comparativo Estructural: CDP Paginada vs Compromiso Presupuestal RP</w:t>
      </w:r>
    </w:p>
    <w:p>
      <w:r>
        <w:t>Este análisis detalla las diferencias arquitectónicas en la capa de exposición (Controllers) de ambos servicios, con un enfoque en la serialización HTTP y el modelado de Data Transfer Objects (DTOs).</w:t>
      </w:r>
    </w:p>
    <w:p>
      <w:pPr>
        <w:pStyle w:val="Heading2"/>
      </w:pPr>
      <w:r>
        <w:t>1.1. Servicio Legacy: consultar-cdp-paginada</w:t>
      </w:r>
    </w:p>
    <w:p>
      <w:r>
        <w:t>En este servicio, el binding de ASP.NET Core mapea la totalidad del payload (incluyendo tokens de autenticación y metadatos) directamente desde el JSON Body utilizando el atributo [FromBody].</w:t>
      </w:r>
    </w:p>
    <w:p>
      <w:pPr>
        <w:spacing w:before="120" w:after="240"/>
        <w:ind w:left="300"/>
      </w:pPr>
      <w:r>
        <w:rPr>
          <w:rFonts w:ascii="Consolas" w:hAnsi="Consolas"/>
          <w:color w:val="003296"/>
          <w:sz w:val="18"/>
        </w:rPr>
        <w:t>[HttpPost("consultar-cdp-paginada")]</w:t>
        <w:br/>
        <w:t>public async Task&lt;IActionResult&gt; ConsultarCdpPaginada(</w:t>
        <w:br/>
        <w:t xml:space="preserve">    [FromBody] ConsultarCdpPaginadaApiRequest request, </w:t>
        <w:br/>
        <w:t xml:space="preserve">    CancellationToken cancellationToken)</w:t>
        <w:br/>
        <w:t>{</w:t>
        <w:br/>
        <w:t xml:space="preserve">    var query = new ConsultarCdpPaginadaQuery { ... };</w:t>
        <w:br/>
        <w:t xml:space="preserve">    var result = await _mediator.Send(query, cancellationToken);</w:t>
        <w:br/>
        <w:t xml:space="preserve">    return Ok(result);</w:t>
        <w:br/>
        <w:t>}</w:t>
      </w:r>
    </w:p>
    <w:p>
      <w:r>
        <w:t>Impacto Técnico: Esto acopla fuertemente el contexto de red/sesión (CodPciHeader, HashHeader) con la lógica de negocio en una única clase DTO plana, violando el principio de separación de metadatos (HTTP Headers) y datos (HTTP Body). El Request es altamente dependiente del payload completo, limitando el reuso de middlewares para intercepción de headers.</w:t>
      </w:r>
    </w:p>
    <w:p>
      <w:pPr>
        <w:pStyle w:val="Heading2"/>
      </w:pPr>
      <w:r>
        <w:t>1.2. Servicio Refactorizado: lista-compromisopresupuestal-RP</w:t>
      </w:r>
    </w:p>
    <w:p>
      <w:r>
        <w:t>El servicio de compromisos presupuestales implementa una arquitectura RESTful más estricta. Utiliza Inyección de Dependencias del lado del framework ([FromHeader]) para extraer propiedades intrínsecas del protocolo HTTP y aislarlas del JSON payload.</w:t>
      </w:r>
    </w:p>
    <w:p>
      <w:pPr>
        <w:spacing w:before="120" w:after="240"/>
        <w:ind w:left="300"/>
      </w:pPr>
      <w:r>
        <w:rPr>
          <w:rFonts w:ascii="Consolas" w:hAnsi="Consolas"/>
          <w:color w:val="003296"/>
          <w:sz w:val="18"/>
        </w:rPr>
        <w:t>[HttpPost("lista-compromisopresupuestal-RP")]</w:t>
        <w:br/>
        <w:t>public async Task&lt;IActionResult&gt; ListaCompromisoPresupuestalRP(</w:t>
        <w:br/>
        <w:t xml:space="preserve">    [FromHeader(Name = "codPCI")] string? codPciHeader,</w:t>
        <w:br/>
        <w:t xml:space="preserve">    [FromHeader(Name = "loginUsuarioSIIF")] string? loginUsuarioSiifHeader,</w:t>
        <w:br/>
        <w:t xml:space="preserve">    [FromHeader(Name = "consecutivo")] string? consecutivoHeader,</w:t>
        <w:br/>
        <w:t xml:space="preserve">    [FromHeader(Name = "hash")] string? hashHeader,</w:t>
        <w:br/>
        <w:t xml:space="preserve">    [FromBody] ListaCompromisoPresupuestalRPApiRequest request,</w:t>
        <w:br/>
        <w:t xml:space="preserve">    CancellationToken cancellationToken)</w:t>
        <w:br/>
        <w:t>{</w:t>
        <w:br/>
        <w:t xml:space="preserve">    // ... ensamblaje del Query inyectando Headers explícitamente</w:t>
        <w:br/>
        <w:t>}</w:t>
      </w:r>
    </w:p>
    <w:p>
      <w:r>
        <w:t>Dentro del DTO ListaCompromisoPresupuestalRPApiRequest, las propiedades de header se marcan con [JsonIgnore], impidiendo que el motor de serialización de System.Text.Json (STJ) intente parsearlas desde el Body. Esto previene ataques de over-posting y asegura la validación semántica del request HTTP, facilitando además la documentación correcta en Swagger (OpenAPI).</w:t>
      </w:r>
    </w:p>
    <w:p>
      <w:pPr>
        <w:pStyle w:val="Heading1"/>
      </w:pPr>
      <w:r>
        <w:t>2. Deep Dive: Pipeline de Ejecución de lista-compromisopresupuestal-RP</w:t>
      </w:r>
    </w:p>
    <w:p>
      <w:r>
        <w:t>El servicio implementa el patrón CQRS (Command Query Responsibility Segregation) a través de la librería MediatR. La clase ConsultarCompromisoPaginadoQueryHandler encapsula la orquestación de la integración externa, telemetría y persistencia.</w:t>
      </w:r>
    </w:p>
    <w:p>
      <w:pPr>
        <w:pStyle w:val="Heading2"/>
      </w:pPr>
      <w:r>
        <w:t>2.1. Telemetría y Trazabilidad (Stopwatch e IAuditoriaLogger)</w:t>
      </w:r>
    </w:p>
    <w:p>
      <w:r>
        <w:t>El flujo está instrumentado de principio a fin. Se inyecta la dependencia IAuditoriaLogger para persistir los estados en puntos críticos (SiifPuntoDeControl). Se utilizan instancias de System.Diagnostics.Stopwatch para medir las latencias exactas del request global (totalSw) y de las llamadas de red externas específicas (siifSw), almacenando métricas como "tiempoRs" en los logs.</w:t>
      </w:r>
    </w:p>
    <w:p>
      <w:pPr>
        <w:pStyle w:val="Heading2"/>
      </w:pPr>
      <w:r>
        <w:t>2.2. Algoritmo de Paginación Desacoplada y Agresiva</w:t>
      </w:r>
    </w:p>
    <w:p>
      <w:r>
        <w:t>Para recuperar todos los registros sin saturar la memoria ni el timeout del proxy del SIIF, el handler implementa un bucle dinámico que muta el objeto PaginationDto en memoria. La condición de parada se evalúa dinámicamente comprobando la cantidad de registros devueltos contra el pageSize estipulado.</w:t>
      </w:r>
    </w:p>
    <w:p>
      <w:pPr>
        <w:spacing w:before="120" w:after="240"/>
        <w:ind w:left="300"/>
      </w:pPr>
      <w:r>
        <w:rPr>
          <w:rFonts w:ascii="Consolas" w:hAnsi="Consolas"/>
          <w:color w:val="003296"/>
          <w:sz w:val="18"/>
        </w:rPr>
        <w:t>while (hasMorePages)</w:t>
        <w:br/>
        <w:t>{</w:t>
        <w:br/>
        <w:t xml:space="preserve">    body.PaginationDto.Page = currentPage;</w:t>
        <w:br/>
        <w:t xml:space="preserve">    body.PaginationDto.Size = pageSize;</w:t>
        <w:br/>
        <w:br/>
        <w:t xml:space="preserve">    var response = await _siifBudgetService.ConsultarListaCompromisoPaginadaAsync(body, headers, cancellationToken);</w:t>
        <w:br/>
        <w:t xml:space="preserve">    </w:t>
        <w:br/>
        <w:t xml:space="preserve">    if (response?.consultaCompromisoSal != null &amp;&amp; response.consultaCompromisoSal.Count &gt; 0)</w:t>
        <w:br/>
        <w:t xml:space="preserve">    {</w:t>
        <w:br/>
        <w:t xml:space="preserve">        todosLosRegistros.AddRange(response.consultaCompromisoSal);</w:t>
        <w:br/>
        <w:t xml:space="preserve">        </w:t>
        <w:br/>
        <w:t xml:space="preserve">        // Si me trajo exactamente la cantidad del pageSize, asumo que hay página siguiente</w:t>
        <w:br/>
        <w:t xml:space="preserve">        if (response.consultaCompromisoSal.Count == pageSize)</w:t>
        <w:br/>
        <w:t xml:space="preserve">        {</w:t>
        <w:br/>
        <w:t xml:space="preserve">            currentPage++;</w:t>
        <w:br/>
        <w:t xml:space="preserve">        }</w:t>
        <w:br/>
        <w:t xml:space="preserve">        else</w:t>
        <w:br/>
        <w:t xml:space="preserve">        {</w:t>
        <w:br/>
        <w:t xml:space="preserve">            hasMorePages = false; // EOF alcanzado</w:t>
        <w:br/>
        <w:t xml:space="preserve">        }</w:t>
        <w:br/>
        <w:t xml:space="preserve">    }</w:t>
        <w:br/>
        <w:t xml:space="preserve">    else</w:t>
        <w:br/>
        <w:t xml:space="preserve">    {</w:t>
        <w:br/>
        <w:t xml:space="preserve">        hasMorePages = false;</w:t>
        <w:br/>
        <w:t xml:space="preserve">    }</w:t>
        <w:br/>
        <w:t>}</w:t>
      </w:r>
    </w:p>
    <w:p>
      <w:pPr>
        <w:pStyle w:val="Heading2"/>
      </w:pPr>
      <w:r>
        <w:t>2.3. Mapeo de Entidades: Deferred Execution y Parsing Seguro</w:t>
      </w:r>
    </w:p>
    <w:p>
      <w:r>
        <w:t>El método MapToEntities utiliza la palabra reservada yield return de C# para generar un IEnumerable&lt;DynTblCompromPagin&gt; mediante ejecución diferida (Deferred Execution), reduciendo la presión en el recolector de basura (GC) al no alojar la colección completa en memoria de inmediato durante la transformación. El parseo de los datos del proveedor externo (que llegan como strings volátiles) es estrictamente tipado:</w:t>
      </w:r>
    </w:p>
    <w:p>
      <w:pPr>
        <w:spacing w:before="120" w:after="240"/>
        <w:ind w:left="300"/>
      </w:pPr>
      <w:r>
        <w:rPr>
          <w:rFonts w:ascii="Consolas" w:hAnsi="Consolas"/>
          <w:color w:val="003296"/>
          <w:sz w:val="18"/>
        </w:rPr>
        <w:t>// Parseo Seguro a Decimal (Moneda) manejando invariancia cultural y caracteres inválidos</w:t>
        <w:br/>
        <w:t>private static decimal? ParseMonedaNullable(string? valor)</w:t>
        <w:br/>
        <w:t>{</w:t>
        <w:br/>
        <w:t xml:space="preserve">    if (string.IsNullOrWhiteSpace(valor)) return null;</w:t>
        <w:br/>
        <w:t xml:space="preserve">    var limpio = valor.Trim().Replace(".", "").Replace(",", ".");</w:t>
        <w:br/>
        <w:t xml:space="preserve">    return decimal.TryParse(limpio, NumberStyles.Any, CultureInfo.InvariantCulture, out var resultado) </w:t>
        <w:br/>
        <w:t xml:space="preserve">           ? resultado : null;</w:t>
        <w:br/>
        <w:t>}</w:t>
        <w:br/>
        <w:br/>
        <w:t>// Parseo Multiformato Exhaustivo para Fechas de sistemas legados</w:t>
        <w:br/>
        <w:t>string[] formatos = { "yyyy-MM-dd", "dd/MM/yyyy", "dd-MM-yyyy", "yyyy-MM-ddTHH:mm:ss" };</w:t>
        <w:br/>
        <w:t>DateTime.TryParseExact(valor.Trim(), formatos, CultureInfo.InvariantCulture, DateTimeStyles.None, out var fecha);</w:t>
      </w:r>
    </w:p>
    <w:p>
      <w:pPr>
        <w:pStyle w:val="Heading2"/>
      </w:pPr>
      <w:r>
        <w:t>2.4. Persistencia en Base de Datos (Operación Idempotente Upsert)</w:t>
      </w:r>
    </w:p>
    <w:p>
      <w:r>
        <w:t>La colección final de entidades se persiste invocando _repository.UpsertCompromisosAsync. Este enfoque transaccional (Update or Insert) garantiza la idempotencia estructural; si el script se ejecuta múltiples veces por un reintento (retry-policy), no se crearán duplicados. El motor de Entity Framework / Dapper determina el conflicto usando la llave de dominio compuesta:</w:t>
      </w:r>
    </w:p>
    <w:p>
      <w:pPr>
        <w:spacing w:before="120" w:after="240"/>
        <w:ind w:left="300"/>
      </w:pPr>
      <w:r>
        <w:rPr>
          <w:rFonts w:ascii="Consolas" w:hAnsi="Consolas"/>
          <w:color w:val="003296"/>
          <w:sz w:val="18"/>
        </w:rPr>
        <w:t>yield return new DynTblCompromPagin</w:t>
        <w:br/>
        <w:t>{</w:t>
        <w:br/>
        <w:t xml:space="preserve">    Oid = Guid.NewGuid().ToString("N"),</w:t>
        <w:br/>
        <w:t xml:space="preserve">    IdCompromiso = $"{item.CodigoPCI}-{item.CodigoCompromiso}", // Llave Compuesta Única</w:t>
        <w:br/>
        <w:t xml:space="preserve">    VigenciaCod = anioVigencia,</w:t>
        <w:br/>
        <w:t xml:space="preserve">    FechaCarga = DateTime.Now</w:t>
        <w:br/>
        <w:t xml:space="preserve">    //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