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Comparison</w:t>
      </w:r>
      <w:r>
        <w:t xml:space="preserve"> </w:t>
      </w:r>
      <w:r>
        <w:t xml:space="preserve">of</w:t>
      </w:r>
      <w:r>
        <w:t xml:space="preserve"> </w:t>
      </w:r>
      <w:r>
        <w:t xml:space="preserve">geochemical</w:t>
      </w:r>
      <w:r>
        <w:t xml:space="preserve"> </w:t>
      </w:r>
      <w:r>
        <w:t xml:space="preserve">datasets</w:t>
      </w:r>
      <w:r>
        <w:t xml:space="preserve"> </w:t>
      </w:r>
      <w:r>
        <w:t xml:space="preserve">for</w:t>
      </w:r>
      <w:r>
        <w:t xml:space="preserve"> </w:t>
      </w:r>
      <w:r>
        <w:t xml:space="preserve">“</w:t>
      </w:r>
      <w:r>
        <w:rPr>
          <w:iCs/>
          <w:i/>
        </w:rPr>
        <w:t xml:space="preserve">Confirmation</w:t>
      </w:r>
      <w:r>
        <w:rPr>
          <w:iCs/>
          <w:i/>
        </w:rPr>
        <w:t xml:space="preserve"> </w:t>
      </w:r>
      <w:r>
        <w:rPr>
          <w:iCs/>
          <w:i/>
        </w:rPr>
        <w:t xml:space="preserve">of</w:t>
      </w:r>
      <w:r>
        <w:rPr>
          <w:iCs/>
          <w:i/>
        </w:rPr>
        <w:t xml:space="preserve"> </w:t>
      </w:r>
      <w:r>
        <w:rPr>
          <w:iCs/>
          <w:i/>
        </w:rPr>
        <w:t xml:space="preserve">Mg/Ca</w:t>
      </w:r>
      <w:r>
        <w:rPr>
          <w:iCs/>
          <w:i/>
        </w:rPr>
        <w:t xml:space="preserve"> </w:t>
      </w:r>
      <w:r>
        <w:rPr>
          <w:iCs/>
          <w:i/>
        </w:rPr>
        <w:t xml:space="preserve">ratios</w:t>
      </w:r>
      <w:r>
        <w:rPr>
          <w:iCs/>
          <w:i/>
        </w:rPr>
        <w:t xml:space="preserve"> </w:t>
      </w:r>
      <w:r>
        <w:rPr>
          <w:iCs/>
          <w:i/>
        </w:rPr>
        <w:t xml:space="preserve">as</w:t>
      </w:r>
      <w:r>
        <w:rPr>
          <w:iCs/>
          <w:i/>
        </w:rPr>
        <w:t xml:space="preserve"> </w:t>
      </w:r>
      <w:r>
        <w:rPr>
          <w:iCs/>
          <w:i/>
        </w:rPr>
        <w:t xml:space="preserve">palaeothermometers</w:t>
      </w:r>
      <w:r>
        <w:rPr>
          <w:iCs/>
          <w:i/>
        </w:rPr>
        <w:t xml:space="preserve"> </w:t>
      </w:r>
      <w:r>
        <w:rPr>
          <w:iCs/>
          <w:i/>
        </w:rPr>
        <w:t xml:space="preserve">in</w:t>
      </w:r>
      <w:r>
        <w:rPr>
          <w:iCs/>
          <w:i/>
        </w:rPr>
        <w:t xml:space="preserve"> </w:t>
      </w:r>
      <w:r>
        <w:rPr>
          <w:iCs/>
          <w:i/>
        </w:rPr>
        <w:t xml:space="preserve">Atlantic</w:t>
      </w:r>
      <w:r>
        <w:rPr>
          <w:iCs/>
          <w:i/>
        </w:rPr>
        <w:t xml:space="preserve"> </w:t>
      </w:r>
      <w:r>
        <w:rPr>
          <w:iCs/>
          <w:i/>
        </w:rPr>
        <w:t xml:space="preserve">limpet</w:t>
      </w:r>
      <w:r>
        <w:rPr>
          <w:iCs/>
          <w:i/>
        </w:rPr>
        <w:t xml:space="preserve"> </w:t>
      </w:r>
      <w:r>
        <w:rPr>
          <w:iCs/>
          <w:i/>
        </w:rPr>
        <w:t xml:space="preserve">shells</w:t>
      </w:r>
      <w:r>
        <w:t xml:space="preserve">”</w:t>
      </w:r>
    </w:p>
    <w:bookmarkStart w:id="56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These supplementary files include the linescan information for Mg/Ca and</w:t>
      </w:r>
      <w:r>
        <w:t xml:space="preserve"> </w:t>
      </w:r>
      <m:oMath>
        <m:r>
          <m:t>δ</m:t>
        </m:r>
      </m:oMath>
      <w:r>
        <w:rPr>
          <w:vertAlign w:val="superscript"/>
        </w:rPr>
        <w:t xml:space="preserve">18</w:t>
      </w:r>
      <w:r>
        <w:t xml:space="preserve">O records of all analysed</w:t>
      </w:r>
      <w:r>
        <w:t xml:space="preserve"> </w:t>
      </w:r>
      <w:hyperlink w:anchor="Patella">
        <w:r>
          <w:rPr>
            <w:rStyle w:val="Hyperlink"/>
            <w:iCs/>
            <w:i/>
          </w:rPr>
          <w:t xml:space="preserve">Patella vulgata</w:t>
        </w:r>
      </w:hyperlink>
      <w:r>
        <w:t xml:space="preserve"> </w:t>
      </w:r>
      <w:r>
        <w:t xml:space="preserve">and</w:t>
      </w:r>
      <w:r>
        <w:t xml:space="preserve"> </w:t>
      </w:r>
      <w:hyperlink w:anchor="Nacella">
        <w:r>
          <w:rPr>
            <w:rStyle w:val="Hyperlink"/>
            <w:iCs/>
            <w:i/>
          </w:rPr>
          <w:t xml:space="preserve">Nacella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sp.</w:t>
        </w:r>
      </w:hyperlink>
      <w:r>
        <w:t xml:space="preserve"> </w:t>
      </w:r>
      <w:r>
        <w:t xml:space="preserve">shells, which were analysed to reassess the use of Magnesium to Calcium (Mg/Ca) ratios as palaeothermometers in Atlantic limpet shells. These supplementary files are organised by species and specimen identifiers.</w:t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333625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Supplementary-files-2---isotope-graphs_files/figure-docx/unnamed-chunk-1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Comparison of geochemical datasets for “Confirmation of Mg/Ca ratios as palaeothermometers in Atlantic limpet shells”</dc:title>
  <dc:creator/>
  <cp:keywords/>
  <dcterms:created xsi:type="dcterms:W3CDTF">2024-09-12T15:37:25Z</dcterms:created>
  <dcterms:modified xsi:type="dcterms:W3CDTF">2024-09-12T15:37:25Z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