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6556" w14:textId="7A4178C5" w:rsidR="00987226" w:rsidRPr="00987226" w:rsidRDefault="00987226" w:rsidP="00987226">
      <w:pPr>
        <w:jc w:val="center"/>
        <w:rPr>
          <w:sz w:val="36"/>
          <w:szCs w:val="36"/>
        </w:rPr>
      </w:pPr>
      <w:r w:rsidRPr="00987226">
        <w:rPr>
          <w:sz w:val="36"/>
          <w:szCs w:val="36"/>
        </w:rPr>
        <w:t>The Causal Effect of Media Internal Pluralism on Polarization: A Historical</w:t>
      </w:r>
      <w:r>
        <w:rPr>
          <w:sz w:val="36"/>
          <w:szCs w:val="36"/>
        </w:rPr>
        <w:t xml:space="preserve"> Investigation</w:t>
      </w:r>
    </w:p>
    <w:p w14:paraId="2EB9E718" w14:textId="77777777" w:rsidR="00987226" w:rsidRPr="00987226" w:rsidRDefault="00987226">
      <w:pPr>
        <w:rPr>
          <w:sz w:val="28"/>
          <w:szCs w:val="28"/>
        </w:rPr>
      </w:pPr>
    </w:p>
    <w:p w14:paraId="6208FBF9" w14:textId="60536B66" w:rsidR="000055D8" w:rsidRDefault="00574198">
      <w:pPr>
        <w:rPr>
          <w:sz w:val="28"/>
          <w:szCs w:val="28"/>
          <w:lang w:val="de-DE"/>
        </w:rPr>
      </w:pPr>
      <w:r w:rsidRPr="00987226">
        <w:rPr>
          <w:sz w:val="28"/>
          <w:szCs w:val="28"/>
          <w:lang w:val="de-DE"/>
        </w:rPr>
        <w:t>1 Introduction</w:t>
      </w:r>
    </w:p>
    <w:p w14:paraId="05E804C0" w14:textId="77777777" w:rsidR="0000335F" w:rsidRDefault="00615CC3" w:rsidP="0000335F">
      <w:pPr>
        <w:spacing w:line="360" w:lineRule="auto"/>
        <w:rPr>
          <w:rFonts w:ascii="Arial" w:hAnsi="Arial" w:cs="Arial"/>
          <w:color w:val="000000"/>
        </w:rPr>
      </w:pPr>
      <w:r w:rsidRPr="0000335F">
        <w:rPr>
          <w:rFonts w:ascii="Calibri" w:hAnsi="Calibri" w:cs="Calibri"/>
        </w:rPr>
        <w:t>Classical models of political accountability are based on the assumption of full, or at least sufficiently rich, information (Downs 1957; Fiorina 1978, Ashworth 2012). Voters, however, do not perceive politics directly, but rather through the mediation of the media (Zaller 1992, 1999; Iyengar and Kinder 1987; McCombs and Shaw 1972). I argue that the quality of the media environment feeds back into the quality of the information available to voters and thus makes accountability a function of media quality (Snyder and Strömberg 2010, Strömberg 2004). Changes in the media environment may therefore constitute part of the explanation for democratic erosion as well as rising political polarization over time (Prior 2007; Lelkes, Sood, and Iyengar 2017). This quality of information has been largely ignored in the accountability literature and has only more recently entered debates on “fake news.” With this paper, I do not contribute to the debate on false information; rather, I define media quality as partisan bias in news coverage (Gentzkow and Shapiro 2010).</w:t>
      </w:r>
    </w:p>
    <w:p w14:paraId="637BC6CA" w14:textId="19DB1CAE" w:rsidR="0000335F" w:rsidRDefault="005B12CF" w:rsidP="0000335F">
      <w:pPr>
        <w:spacing w:line="360" w:lineRule="auto"/>
        <w:rPr>
          <w:rFonts w:ascii="Calibri" w:hAnsi="Calibri" w:cs="Calibri"/>
        </w:rPr>
      </w:pPr>
      <w:r w:rsidRPr="0000335F">
        <w:rPr>
          <w:rFonts w:ascii="Calibri" w:hAnsi="Calibri" w:cs="Calibri"/>
        </w:rPr>
        <w:t>The quality of information is especially important in the period before an election, when voters make their electoral decisions. In line with Gelam and King (1993), I argue that the campaign period is a time of heightened political intensity</w:t>
      </w:r>
      <w:r w:rsidR="0000335F" w:rsidRPr="0000335F">
        <w:rPr>
          <w:rFonts w:ascii="Calibri" w:hAnsi="Calibri" w:cs="Calibri"/>
        </w:rPr>
        <w:t xml:space="preserve"> (Lazarsfeld, Berelson, and Gaudet 1944; Campbell et al. 1960; Zaller 1992)</w:t>
      </w:r>
      <w:r w:rsidRPr="0000335F">
        <w:rPr>
          <w:rFonts w:ascii="Calibri" w:hAnsi="Calibri" w:cs="Calibri"/>
        </w:rPr>
        <w:t xml:space="preserve"> in which, on the one hand, voters have a particularly strong demand for political information that aligns with their prior political views</w:t>
      </w:r>
      <w:r w:rsidR="0000335F" w:rsidRPr="0000335F">
        <w:rPr>
          <w:rFonts w:ascii="Calibri" w:hAnsi="Calibri" w:cs="Calibri"/>
        </w:rPr>
        <w:t xml:space="preserve"> (Stroud 2011)</w:t>
      </w:r>
      <w:r w:rsidRPr="0000335F">
        <w:rPr>
          <w:rFonts w:ascii="Calibri" w:hAnsi="Calibri" w:cs="Calibri"/>
        </w:rPr>
        <w:t>. At the same time, election campaigns generate a particularly high supply of political information</w:t>
      </w:r>
      <w:r w:rsidR="0000335F" w:rsidRPr="0000335F">
        <w:rPr>
          <w:rFonts w:ascii="Calibri" w:hAnsi="Calibri" w:cs="Calibri"/>
        </w:rPr>
        <w:t xml:space="preserve"> (Iyengar and Simon 2000) </w:t>
      </w:r>
      <w:r w:rsidRPr="0000335F">
        <w:rPr>
          <w:rFonts w:ascii="Calibri" w:hAnsi="Calibri" w:cs="Calibri"/>
        </w:rPr>
        <w:t xml:space="preserve"> produced by parties and political elites, which is then taken up by the media</w:t>
      </w:r>
      <w:r w:rsidR="0000335F" w:rsidRPr="0000335F">
        <w:rPr>
          <w:rFonts w:ascii="Calibri" w:hAnsi="Calibri" w:cs="Calibri"/>
        </w:rPr>
        <w:t xml:space="preserve"> (Druckman, Peterson, and Slothuus 2013)</w:t>
      </w:r>
      <w:r w:rsidRPr="0000335F">
        <w:rPr>
          <w:rFonts w:ascii="Calibri" w:hAnsi="Calibri" w:cs="Calibri"/>
        </w:rPr>
        <w:t>. Together, these dynamics cause the quality of media coverage to decline during campaign periods, conditional on the level of political intensity.</w:t>
      </w:r>
    </w:p>
    <w:p w14:paraId="1F91E7ED" w14:textId="77777777" w:rsidR="00D85143" w:rsidRDefault="0000335F" w:rsidP="0000335F">
      <w:pPr>
        <w:spacing w:line="360" w:lineRule="auto"/>
        <w:rPr>
          <w:rFonts w:ascii="Calibri" w:hAnsi="Calibri" w:cs="Calibri"/>
        </w:rPr>
      </w:pPr>
      <w:r w:rsidRPr="0000335F">
        <w:rPr>
          <w:rFonts w:ascii="Calibri" w:hAnsi="Calibri" w:cs="Calibri"/>
        </w:rPr>
        <w:t>For this reason, this paper asks what effect political competition intensity has on media coverage. For this study, I focus on the United States because of its pronounced and relatively stable media market in one of the world’s oldest democracies</w:t>
      </w:r>
      <w:r>
        <w:rPr>
          <w:rFonts w:ascii="Calibri" w:hAnsi="Calibri" w:cs="Calibri"/>
        </w:rPr>
        <w:t xml:space="preserve"> (</w:t>
      </w:r>
      <w:r>
        <w:t>Snyder and Strömberg 2010; Petrova 2011</w:t>
      </w:r>
      <w:r>
        <w:rPr>
          <w:rFonts w:ascii="Calibri" w:hAnsi="Calibri" w:cs="Calibri"/>
        </w:rPr>
        <w:t>)</w:t>
      </w:r>
      <w:r w:rsidRPr="0000335F">
        <w:rPr>
          <w:rFonts w:ascii="Calibri" w:hAnsi="Calibri" w:cs="Calibri"/>
        </w:rPr>
        <w:t xml:space="preserve">. I adopt a historical political economy perspective and </w:t>
      </w:r>
      <w:r w:rsidRPr="0000335F">
        <w:rPr>
          <w:rFonts w:ascii="Calibri" w:hAnsi="Calibri" w:cs="Calibri"/>
        </w:rPr>
        <w:lastRenderedPageBreak/>
        <w:t>examine a period spanning 100 years of U.S. history. This long time horizon allows me to identify a sufficient number of special elections, which I use as an exogenous shock to the media agenda in order to identify causal effects</w:t>
      </w:r>
      <w:r>
        <w:rPr>
          <w:rFonts w:ascii="Calibri" w:hAnsi="Calibri" w:cs="Calibri"/>
        </w:rPr>
        <w:t xml:space="preserve"> (</w:t>
      </w:r>
      <w:r>
        <w:t>McCombs and Shaw 1972)</w:t>
      </w:r>
      <w:r w:rsidRPr="0000335F">
        <w:rPr>
          <w:rFonts w:ascii="Calibri" w:hAnsi="Calibri" w:cs="Calibri"/>
        </w:rPr>
        <w:t>.</w:t>
      </w:r>
    </w:p>
    <w:p w14:paraId="3DD7E303" w14:textId="77777777" w:rsidR="00D85143" w:rsidRPr="00D85143" w:rsidRDefault="00D85143" w:rsidP="00D85143">
      <w:pPr>
        <w:spacing w:line="360" w:lineRule="auto"/>
        <w:rPr>
          <w:rFonts w:ascii="Calibri" w:hAnsi="Calibri" w:cs="Calibri"/>
        </w:rPr>
      </w:pPr>
      <w:r w:rsidRPr="00D85143">
        <w:rPr>
          <w:rFonts w:ascii="Calibri" w:hAnsi="Calibri" w:cs="Calibri"/>
        </w:rPr>
        <w:t>This study makes several contributions. First, to the best of my knowledge, it is the first study to systematically compile historical data on special elections over the past 100 years. I then show the causal effect of campaign intensity on media behavior, first through the sheer number of political stories and, in a second step, through media quality. The paper thus contributes to the literature on media quality and journalistic norms in historical perspective. In a broader context, it also contributes to our understanding of democratic backsliding and political polarization.</w:t>
      </w:r>
    </w:p>
    <w:p w14:paraId="4886CD2B" w14:textId="182AD270" w:rsidR="002477B2" w:rsidRDefault="002477B2" w:rsidP="001C6397">
      <w:pPr>
        <w:spacing w:line="480" w:lineRule="auto"/>
        <w:rPr>
          <w:lang w:val="de-DE"/>
        </w:rPr>
      </w:pPr>
      <w:r w:rsidRPr="00D85143">
        <w:rPr>
          <w:lang w:val="de-DE"/>
        </w:rPr>
        <w:t xml:space="preserve">Diese Studie geht folgendermaßen vor. </w:t>
      </w:r>
      <w:r>
        <w:rPr>
          <w:lang w:val="de-DE"/>
        </w:rPr>
        <w:t>Ich reviewe existierende Theorien zu dem Effekt von politischer Intensität auf internen medien Pluralismus, zeige mehrere polit-ökonomische Mikro-Meschanismen auf und leite basierend auf der Analyse drei Hypothesen ab. Ich teste diese Hypothesen sowohl durch verschiedene deskriptive Statistiken, welche einen Einblick in den Zeit-Datensatz geben, wie auch besonders durch ein Difference-in-Difference Modell. Ich zeige, dass…. Und finde damit für H1… support. In der abschließenden Disussion ordne ich meine Ergebnisse ein und diskutiere fortführede Forschung in dem Bereich und die Relationship zu Polarisierung.</w:t>
      </w:r>
    </w:p>
    <w:p w14:paraId="74D6B0E3" w14:textId="767A0410" w:rsidR="001A6CC9" w:rsidRPr="009342B7" w:rsidRDefault="001A6CC9" w:rsidP="001C6397">
      <w:pPr>
        <w:spacing w:line="480" w:lineRule="auto"/>
      </w:pPr>
      <w:r w:rsidRPr="009342B7">
        <w:t xml:space="preserve"># Theorie </w:t>
      </w:r>
    </w:p>
    <w:p w14:paraId="2464D1A7" w14:textId="141E66B7" w:rsidR="00D85143" w:rsidRPr="009342B7" w:rsidRDefault="000055D8" w:rsidP="001C6397">
      <w:pPr>
        <w:spacing w:line="480" w:lineRule="auto"/>
      </w:pPr>
      <w:r w:rsidRPr="00D85143">
        <w:t># Medien</w:t>
      </w:r>
      <w:r w:rsidR="00F9099C" w:rsidRPr="00D85143">
        <w:t>,</w:t>
      </w:r>
      <w:r w:rsidRPr="00D85143">
        <w:t xml:space="preserve"> Funktion</w:t>
      </w:r>
      <w:r w:rsidR="00F9099C" w:rsidRPr="00D85143">
        <w:t xml:space="preserve"> und Pluralismus</w:t>
      </w:r>
      <w:r w:rsidRPr="00D85143">
        <w:br/>
      </w:r>
      <w:bookmarkStart w:id="0" w:name="OLE_LINK1"/>
      <w:r w:rsidR="00D85143">
        <w:t xml:space="preserve">Media report selectively and, in doing so, structure both public opinion and the political agenda. From this perspective, the media are not merely transmitters, but political institutions (Cook 2005) whose organizational forms and market logics vary systematically (Baumgartner and Jones 1993). In their comparative analysis of media systems, Hallin and Mancini (2004) identify differences along the dimensions of </w:t>
      </w:r>
      <w:r w:rsidR="00D85143">
        <w:lastRenderedPageBreak/>
        <w:t>political parallelism, journalistic professionalism, state intervention, and market structures. In systems with high political parallelism, pluralism is often organized through differentiation across outlets, while a more coherent line tends to dominate within individual media organizations; in more professionalized or public-service-oriented environments, pluralism is more likely to be institutionalized within individual media outlets (Hallin and Mancini 2004; Blumler and Gurevitch 1995; Chadwick 2013).</w:t>
      </w:r>
    </w:p>
    <w:p w14:paraId="58ADFDD5" w14:textId="0DD6229A" w:rsidR="00021F36" w:rsidRPr="00D85143" w:rsidRDefault="002866F2" w:rsidP="001C6397">
      <w:pPr>
        <w:spacing w:line="480" w:lineRule="auto"/>
      </w:pPr>
      <w:r w:rsidRPr="00D85143">
        <w:rPr>
          <w:rFonts w:ascii="Arial" w:hAnsi="Arial" w:cs="Arial"/>
          <w:color w:val="000000"/>
        </w:rPr>
        <w:t>&lt;!— Pluralismus–&gt;</w:t>
      </w:r>
      <w:bookmarkEnd w:id="0"/>
      <w:r w:rsidRPr="00D85143">
        <w:rPr>
          <w:rFonts w:ascii="Arial" w:hAnsi="Arial" w:cs="Arial"/>
          <w:color w:val="000000"/>
        </w:rPr>
        <w:br/>
      </w:r>
      <w:r w:rsidR="00D85143">
        <w:t>The political economy literature points to a trade-off between internal pluralism and pluralism across media outlets (Mullainathan and Shleifer 2005; Gentzkow and Shapiro 2010). In media markets with strongly competitive structures, and the correspondingly higher degree of pluralism across outlets that often accompanies them, the internal pluralism of content tends to decline (Mullainathan and Shleifer 2005; Gentzkow and Shapiro 2006, 2010). Outlets differentiate themselves as brands or niches; internal heterogeneity weakens branding, and internal pluralism therefore declines. In intense campaigns, competition for attention increases, so this effect should become even stronger. An exception in such media markets may be state media, which typically carry a political mandate to maintain internal pluralism (Hallin and Mancini 2004).</w:t>
      </w:r>
    </w:p>
    <w:p w14:paraId="2D0103FF" w14:textId="5E0ED9C9" w:rsidR="002866F2" w:rsidRPr="00D85143" w:rsidRDefault="002866F2" w:rsidP="001C6397">
      <w:pPr>
        <w:spacing w:line="480" w:lineRule="auto"/>
      </w:pPr>
      <w:r w:rsidRPr="009342B7">
        <w:rPr>
          <w:rFonts w:ascii="Arial" w:hAnsi="Arial" w:cs="Arial"/>
          <w:color w:val="000000"/>
        </w:rPr>
        <w:t xml:space="preserve">&lt;!— </w:t>
      </w:r>
      <w:r w:rsidRPr="00D85143">
        <w:rPr>
          <w:rFonts w:ascii="Arial" w:hAnsi="Arial" w:cs="Arial"/>
          <w:color w:val="000000"/>
        </w:rPr>
        <w:t>Argument–&gt;</w:t>
      </w:r>
      <w:r w:rsidRPr="00D85143">
        <w:rPr>
          <w:rFonts w:ascii="Arial" w:hAnsi="Arial" w:cs="Arial"/>
          <w:color w:val="000000"/>
        </w:rPr>
        <w:br/>
      </w:r>
      <w:r w:rsidR="00D85143">
        <w:t xml:space="preserve">I argue that the internal pluralism of media is of decisive importance for the accountability of political elites and parties. </w:t>
      </w:r>
      <w:r w:rsidR="00252E90">
        <w:t xml:space="preserve">Stroud (2011) </w:t>
      </w:r>
      <w:r w:rsidR="00D85143">
        <w:t>show that voters strongly self-select into media outlets on the basis of their partisanship</w:t>
      </w:r>
      <w:r w:rsidR="00252E90">
        <w:t xml:space="preserve"> (Prior 2007;</w:t>
      </w:r>
      <w:r w:rsidR="00252E90">
        <w:br/>
        <w:t>Iyengar and Hahn 2009)</w:t>
      </w:r>
      <w:r w:rsidR="00D85143">
        <w:t>. Pluralistic media consumption is therefore rare. Newspapers often emerge from a tradition of strong ties to political parties (</w:t>
      </w:r>
      <w:r w:rsidR="00252E90">
        <w:t xml:space="preserve">Kaplan 2002; Hallin and </w:t>
      </w:r>
      <w:r w:rsidR="00252E90">
        <w:lastRenderedPageBreak/>
        <w:t>Mancini 2004</w:t>
      </w:r>
      <w:r w:rsidR="00D85143">
        <w:t>) and, for this reason, already tend to exhibit lower internal pluralism than other media forms, in which, traditionally, broadcast licenses were more limited and the state intervened more strongly in the media market (</w:t>
      </w:r>
      <w:r w:rsidR="00252E90">
        <w:t>Hallin and Mancini 2004</w:t>
      </w:r>
      <w:r w:rsidR="00D85143">
        <w:t>). The U.S. media market is known for its limited state intervention and strong competition</w:t>
      </w:r>
      <w:r w:rsidR="00252E90">
        <w:t xml:space="preserve"> (Hallin and Mancini 2004; Hamilton 2004)</w:t>
      </w:r>
      <w:r w:rsidR="00D85143">
        <w:t>. For this reason, I argue that, especially in the United States, the pluralism of the information voters consume depends on the internal pluralism of the media.</w:t>
      </w:r>
    </w:p>
    <w:p w14:paraId="4FE44C8C" w14:textId="04596E01" w:rsidR="00021F36" w:rsidRPr="009342B7" w:rsidRDefault="00F82101" w:rsidP="001C6397">
      <w:pPr>
        <w:spacing w:line="480" w:lineRule="auto"/>
      </w:pPr>
      <w:r w:rsidRPr="009342B7">
        <w:t># Mechanismus</w:t>
      </w:r>
    </w:p>
    <w:p w14:paraId="4B447C4B" w14:textId="6E0BCD0A" w:rsidR="00252E90" w:rsidRDefault="00252E90" w:rsidP="001C6397">
      <w:pPr>
        <w:spacing w:line="480" w:lineRule="auto"/>
      </w:pPr>
      <w:r>
        <w:t>Media behavior is shaped to a large extent by three external forces: state intervention, professional journalistic norms, and economic constraints (Hallin and Mancini 2004;</w:t>
      </w:r>
      <w:r>
        <w:br/>
        <w:t>Cook 2005; Hamilton 2004). I argue that, by conducting a case study within a single democratic country, I hold the first two factors constant by design, so that media behavior is driven primarily by economic constraints.</w:t>
      </w:r>
    </w:p>
    <w:p w14:paraId="207C2FAA" w14:textId="00FB7F04" w:rsidR="00021F36" w:rsidRPr="009342B7" w:rsidRDefault="00021F36" w:rsidP="001C6397">
      <w:pPr>
        <w:spacing w:line="480" w:lineRule="auto"/>
      </w:pPr>
      <w:r w:rsidRPr="009342B7">
        <w:t>#</w:t>
      </w:r>
      <w:r w:rsidR="00F06371" w:rsidRPr="009342B7">
        <w:t>#</w:t>
      </w:r>
      <w:r w:rsidRPr="009342B7">
        <w:t xml:space="preserve"> Demand Side</w:t>
      </w:r>
    </w:p>
    <w:p w14:paraId="20BDA5C1" w14:textId="4974C29E" w:rsidR="008C3C36" w:rsidRDefault="008C3C36" w:rsidP="001C6397">
      <w:pPr>
        <w:spacing w:line="480" w:lineRule="auto"/>
      </w:pPr>
      <w:r>
        <w:t xml:space="preserve">Campaigns increase identity salience and emotional involvement; as a result, motivated reasoning intensifies and the demand for congenial information rises (Taber and Lodge 2006), while media outlets respond in profit- and audience-maximizing ways by adopting a more coherent “house line.” Voters prefer news that is consistent with their affectively grounded attitudes in order to reduce cognitive dissonance, and they search for and interpret information selectively (Lodge and Taber 2013; Gentzkow and Shapiro 2010). Huddy and Mason (2015) show that campaign events activate strong emotions tied to partisan identity, thereby reinforcing the effect of affectively grounded attitudes. This makes social sorting on the basis of partisanship more likely during </w:t>
      </w:r>
      <w:r>
        <w:lastRenderedPageBreak/>
        <w:t>periods of high salience (Mason 2016, 2018; Iyengar and Hahn 2009; Messing and Westwood 2014).</w:t>
      </w:r>
    </w:p>
    <w:p w14:paraId="04F8BEBB" w14:textId="4EB5DF09" w:rsidR="0080370C" w:rsidRDefault="0080370C" w:rsidP="001C6397">
      <w:pPr>
        <w:spacing w:line="480" w:lineRule="auto"/>
      </w:pPr>
      <w:r>
        <w:t>Media are economic actors and seek, above all, to maximize their audience and, with it, their profits. Gentzkow and Shapiro (2010) show that outlets respond systematically to consumer demand, while Mullainathan and Shleifer (2005) model confirmatory preferences and show that competition can shift an outlet’s slant toward the prior beliefs of its readers (Hamilton 2004).</w:t>
      </w:r>
    </w:p>
    <w:p w14:paraId="321314C2" w14:textId="77975DDC" w:rsidR="00F06371" w:rsidRDefault="00F06371" w:rsidP="001C6397">
      <w:pPr>
        <w:spacing w:line="480" w:lineRule="auto"/>
      </w:pPr>
      <w:r w:rsidRPr="00F06371">
        <w:t>## Supply Side</w:t>
      </w:r>
    </w:p>
    <w:p w14:paraId="3D52FC50" w14:textId="3AA5D032" w:rsidR="0080370C" w:rsidRPr="0080370C" w:rsidRDefault="0080370C" w:rsidP="001C6397">
      <w:pPr>
        <w:spacing w:line="480" w:lineRule="auto"/>
      </w:pPr>
      <w:r>
        <w:t xml:space="preserve">Campaigns constantly produce “ready-made” inputs such as events, PR, and talking points. Under time pressure and tight production cycles, newsrooms rely on standardized templates such as the horse-race frame, strategy/game framing, and scandal coverage (Patterson 1993; Cappella and Jamieson 1997; Aalberg, Strömbäck, and de Vreese 2012); this crowds out more heterogeneous and time-intensive perspectives. Political actors have different strategic means of shaping the media agenda, the most influential of which are framing (Aalberg, Strömbäck, and de Vreese 2012; de Vreese 2005), agenda-setting (McCombs and Shaw 1972; McCombs 2004), and priming (Iyengar and Kinder 1987; Krosnick and Kinder 1990). </w:t>
      </w:r>
      <w:r w:rsidRPr="0080370C">
        <w:t>During campaigns, messages within political camps converge and become more tightly coordinated (</w:t>
      </w:r>
      <w:r>
        <w:t>Zaller 1992; Druckman, Peterson, and Slothuus 2013</w:t>
      </w:r>
      <w:r w:rsidRPr="0080370C">
        <w:t>).</w:t>
      </w:r>
    </w:p>
    <w:p w14:paraId="4135225E" w14:textId="77777777" w:rsidR="0080370C" w:rsidRDefault="0080370C" w:rsidP="001C6397">
      <w:pPr>
        <w:spacing w:line="480" w:lineRule="auto"/>
      </w:pPr>
      <w:r>
        <w:t xml:space="preserve">Due to resource constraints in news production, above all limited time, media rely on these prefabricated messages provided by political actors (Gans 1979; Shoemaker and Vos 2009). This effect is further intensified during campaign periods because the </w:t>
      </w:r>
      <w:r>
        <w:lastRenderedPageBreak/>
        <w:t>demand for political news rises, while the volume and complexity of political events also increase (Shoemaker and Vos 2009; Gans 1979).</w:t>
      </w:r>
    </w:p>
    <w:p w14:paraId="7C48B500" w14:textId="150D7B05" w:rsidR="00F90FD7" w:rsidRPr="009342B7" w:rsidRDefault="007F344C" w:rsidP="001C6397">
      <w:pPr>
        <w:spacing w:line="480" w:lineRule="auto"/>
      </w:pPr>
      <w:r w:rsidRPr="009342B7">
        <w:t>## Strategische Allianzen</w:t>
      </w:r>
    </w:p>
    <w:p w14:paraId="08A3DD71" w14:textId="3016795E" w:rsidR="00EA0395" w:rsidRPr="00EA0395" w:rsidRDefault="00EA0395" w:rsidP="001C6397">
      <w:pPr>
        <w:spacing w:line="480" w:lineRule="auto"/>
      </w:pPr>
      <w:r>
        <w:t xml:space="preserve">When access to candidates, surrogates, or embargoed information is central, access itself can function as a disciplinary instrument; media internalize this logic through self-censorship, source dependence, and indexing. Bennett (1990) describes how the range of legitimate views in news discourse is often “indexed” to official or elite debate; when elites control access, this narrows the range of views that enters coverage. </w:t>
      </w:r>
      <w:r w:rsidRPr="00EA0395">
        <w:t xml:space="preserve">This effect is further reinforced by journalistic </w:t>
      </w:r>
      <w:r>
        <w:t xml:space="preserve">routines </w:t>
      </w:r>
      <w:r w:rsidRPr="00EA0395">
        <w:t>governing the use of official sources, with the result that dissenting voices are screened out (Bennett, Lawrence, and Livingston 2007; Gans 1979; Cottle 2000).</w:t>
      </w:r>
    </w:p>
    <w:p w14:paraId="52AB1F3A" w14:textId="77777777" w:rsidR="00EA0395" w:rsidRDefault="00EA0395" w:rsidP="001C6397">
      <w:pPr>
        <w:spacing w:line="480" w:lineRule="auto"/>
      </w:pPr>
      <w:r>
        <w:t>Competing theories instead assume that the increased demand for information during elections, uncertainty about the winner and the future policy direction (Huddy, Mason, and Aarøe 2015; Gentzkow 2006; Downs 1957), and also the stronger scrutiny of the media by watchdog institutions alongside self-censorship rooted in professional role conceptions (Tuchman 1972; Schudson 2001) lead to higher internal pluralism. In addition, this literature argues that outlets become less dependent on their core audience (Nielsen 2024; Wesleyan Media Project 2025) and have more material available for their coverage (Dimitrova and Strömbäck 2012).</w:t>
      </w:r>
    </w:p>
    <w:p w14:paraId="445854AB" w14:textId="4EF4A8E7" w:rsidR="00EA0395" w:rsidRPr="00EA0395" w:rsidRDefault="00EA0395" w:rsidP="001C6397">
      <w:pPr>
        <w:spacing w:line="480" w:lineRule="auto"/>
      </w:pPr>
      <w:r w:rsidRPr="00EA0395">
        <w:t>Based on that I derive two hypo</w:t>
      </w:r>
      <w:r>
        <w:t>theses:</w:t>
      </w:r>
    </w:p>
    <w:p w14:paraId="4408B344" w14:textId="77777777" w:rsidR="00D945BD" w:rsidRPr="00D945BD" w:rsidRDefault="00D945BD" w:rsidP="00D945BD">
      <w:pPr>
        <w:spacing w:line="480" w:lineRule="auto"/>
      </w:pPr>
      <w:r w:rsidRPr="00D945BD">
        <w:t>H1: Campaign periods reduce the internal pluralism of media coverage.</w:t>
      </w:r>
    </w:p>
    <w:p w14:paraId="1CD21165" w14:textId="77777777" w:rsidR="00D945BD" w:rsidRPr="00D945BD" w:rsidRDefault="00D945BD" w:rsidP="00D945BD">
      <w:pPr>
        <w:spacing w:line="480" w:lineRule="auto"/>
      </w:pPr>
    </w:p>
    <w:p w14:paraId="26049476" w14:textId="77777777" w:rsidR="00D945BD" w:rsidRPr="00D945BD" w:rsidRDefault="00D945BD" w:rsidP="00D945BD">
      <w:pPr>
        <w:spacing w:line="480" w:lineRule="auto"/>
      </w:pPr>
      <w:r w:rsidRPr="00D945BD">
        <w:lastRenderedPageBreak/>
        <w:t>H2: The negative effects of campaign intensity increase over time as audience polarization, and thus demand-side polarization, rises.</w:t>
      </w:r>
    </w:p>
    <w:p w14:paraId="320B1C7E" w14:textId="6A53A597" w:rsidR="00600A21" w:rsidRPr="00D945BD" w:rsidRDefault="00131E9B" w:rsidP="00D945BD">
      <w:pPr>
        <w:spacing w:line="480" w:lineRule="auto"/>
      </w:pPr>
      <w:r w:rsidRPr="00D945BD">
        <w:t># Design</w:t>
      </w:r>
    </w:p>
    <w:p w14:paraId="158EC28F" w14:textId="31DBA80F" w:rsidR="00D945BD" w:rsidRDefault="00D945BD" w:rsidP="001C6397">
      <w:pPr>
        <w:spacing w:line="480" w:lineRule="auto"/>
      </w:pPr>
      <w:r>
        <w:t>The analysis of media effects and effects on the media is subject to the fundamental problem of endogeneity. The literature has extensively described the influence of the media on the political process (McCombs and Shaw 1972; Iyengar and Kinder 1987). These effects primarily include agenda-setting, priming, and framing. From a causal perspective, the question is therefore whether pluralism in the media declines as a result of campaign intensity, or whether campaign intensity increases as a result of strongly partisan media. To address this endogeneity problem</w:t>
      </w:r>
      <w:r w:rsidR="009342B7">
        <w:t xml:space="preserve"> (</w:t>
      </w:r>
      <w:r w:rsidR="009342B7">
        <w:t>Snyder and Strömberg 2010</w:t>
      </w:r>
      <w:r w:rsidR="009342B7">
        <w:t xml:space="preserve">; </w:t>
      </w:r>
      <w:r w:rsidR="009342B7">
        <w:t>Gerber, Karlan, and Bergan 2009</w:t>
      </w:r>
      <w:r w:rsidR="009342B7">
        <w:t>)</w:t>
      </w:r>
      <w:r>
        <w:t>, I use special elections as shocks to the political agenda. I argue that, under certain conditions, special elections can satisfy the requirements of an exogenous shock.</w:t>
      </w:r>
    </w:p>
    <w:p w14:paraId="3BF530E0" w14:textId="572084AD" w:rsidR="00914CD4" w:rsidRDefault="00914CD4" w:rsidP="001C6397">
      <w:pPr>
        <w:spacing w:line="480" w:lineRule="auto"/>
      </w:pPr>
      <w:r w:rsidRPr="00914CD4">
        <w:t>## Special Elections als e</w:t>
      </w:r>
      <w:r>
        <w:t>xogener Schock</w:t>
      </w:r>
    </w:p>
    <w:p w14:paraId="476818A0" w14:textId="77777777" w:rsidR="009342B7" w:rsidRDefault="009342B7" w:rsidP="001C6397">
      <w:pPr>
        <w:spacing w:line="480" w:lineRule="auto"/>
      </w:pPr>
      <w:r>
        <w:t>Special elections are elections that are called, or may be called, when a seat in a U.S. legislature becomes vacant in order to fill it. In general, there is substantial variation in the institutional rules governing how a vacant seat is filled. In this study, I focus on the House of Representatives, because the Constitution has long stipulated that vacant seats may not be filled by appointment, but must instead be filled through an election. A special election in response to a vacant seat is called by the governor of the respective state. When a seat becomes vacant close to the end of the term, however, no special election is often held, and the seat is instead filled at the next general election.</w:t>
      </w:r>
    </w:p>
    <w:p w14:paraId="2C7DDDAF" w14:textId="77777777" w:rsidR="009342B7" w:rsidRDefault="00AC5DA1" w:rsidP="001C6397">
      <w:pPr>
        <w:spacing w:line="480" w:lineRule="auto"/>
      </w:pPr>
      <w:r w:rsidRPr="009342B7">
        <w:rPr>
          <w:rFonts w:ascii="Arial" w:hAnsi="Arial" w:cs="Arial"/>
          <w:color w:val="000000"/>
        </w:rPr>
        <w:lastRenderedPageBreak/>
        <w:t>&lt;!—Verschiedene Ursachen einer Special election –&gt;</w:t>
      </w:r>
      <w:r w:rsidRPr="009342B7">
        <w:rPr>
          <w:rFonts w:ascii="Arial" w:hAnsi="Arial" w:cs="Arial"/>
          <w:color w:val="000000"/>
        </w:rPr>
        <w:br/>
      </w:r>
      <w:r w:rsidR="009342B7">
        <w:t>I argue that the occurrence of a special election is not, by itself, sufficient for it to serve as an exogenous shock. In principle, there is substantial variation in the reasons why a seat becomes vacant. The most common cases are resignation and death while in office. The reasons for resignation can be highly diverse, and historically it is often difficult to reconstruct the full motivations of politicians. I discuss three main reasons here: resignations due to political scandals, resignations for other political offices, and strategic resignations.</w:t>
      </w:r>
    </w:p>
    <w:p w14:paraId="3D93708A" w14:textId="5B176B57" w:rsidR="00F24184" w:rsidRPr="009342B7" w:rsidRDefault="00F24184" w:rsidP="001C6397">
      <w:pPr>
        <w:spacing w:line="480" w:lineRule="auto"/>
      </w:pPr>
      <w:r w:rsidRPr="009342B7">
        <w:t>### Rücktritte</w:t>
      </w:r>
    </w:p>
    <w:p w14:paraId="10AE61EC" w14:textId="77777777" w:rsidR="009342B7" w:rsidRDefault="009342B7" w:rsidP="001C6397">
      <w:pPr>
        <w:spacing w:line="480" w:lineRule="auto"/>
      </w:pPr>
      <w:r>
        <w:t>Political scandals pose a problem for the operationalization of special elections as an exogenous shock, because they violate the “no co-treatment” assumption that is fundamental to causal identification. In such cases, the media are not concerned only with the election campaign itself, but also with the scandal that prompted the politician’s resignation.</w:t>
      </w:r>
    </w:p>
    <w:p w14:paraId="2425D78A" w14:textId="3ADB8280" w:rsidR="00F24184" w:rsidRPr="009342B7" w:rsidRDefault="009342B7" w:rsidP="001C6397">
      <w:pPr>
        <w:spacing w:line="480" w:lineRule="auto"/>
      </w:pPr>
      <w:r>
        <w:t>Resignations for other political offices violate the assumption that the shock is unforeseen, and thus exogenous. Most politicians who run for another office, such as governor, senator, or a position in the federal administration, do not do so randomly, but instead prepare themselves and their political environment for this transition, which in such cases unfolds in a planned and structured manner. The same applies to strategic resignations, for example when a party uses a moment of high public support to engineer a generational transition rather than waiting for the next election.</w:t>
      </w:r>
      <w:r w:rsidR="00F24184" w:rsidRPr="009342B7">
        <w:t>Insgesamt argumentiere ich, dass Resignments in der Regel nicht als exogener Schock sutiable sind.</w:t>
      </w:r>
    </w:p>
    <w:p w14:paraId="6F5DFEEE" w14:textId="5219BC94" w:rsidR="00F24184" w:rsidRDefault="00F24184" w:rsidP="001C6397">
      <w:pPr>
        <w:spacing w:line="480" w:lineRule="auto"/>
        <w:rPr>
          <w:lang w:val="de-DE"/>
        </w:rPr>
      </w:pPr>
      <w:r>
        <w:rPr>
          <w:lang w:val="de-DE"/>
        </w:rPr>
        <w:lastRenderedPageBreak/>
        <w:t>### Tode</w:t>
      </w:r>
    </w:p>
    <w:p w14:paraId="3399FAE4" w14:textId="77777777" w:rsidR="009342B7" w:rsidRDefault="009342B7" w:rsidP="001C6397">
      <w:pPr>
        <w:spacing w:line="480" w:lineRule="auto"/>
      </w:pPr>
      <w:r>
        <w:t>Compared to resignations, deaths in office constitute a far more unforeseen shock to the political agenda. Yet even here, it is necessary to distinguish the manner in which the officeholder died. In the case of a person with a known illness, death is less unforeseen than in the case of someone who dies as a result of external violence, such as an accident or physical attack.</w:t>
      </w:r>
    </w:p>
    <w:p w14:paraId="59AD106F" w14:textId="1EE4338A" w:rsidR="002A63B7" w:rsidRPr="009342B7" w:rsidRDefault="002A63B7" w:rsidP="001C6397">
      <w:pPr>
        <w:spacing w:line="480" w:lineRule="auto"/>
      </w:pPr>
      <w:r w:rsidRPr="009342B7">
        <w:t>## Data</w:t>
      </w:r>
    </w:p>
    <w:p w14:paraId="32267AC9" w14:textId="77777777" w:rsidR="009342B7" w:rsidRDefault="009342B7" w:rsidP="001C6397">
      <w:pPr>
        <w:spacing w:line="480" w:lineRule="auto"/>
      </w:pPr>
      <w:r>
        <w:t>To test the derived hypotheses, I construct an original dataset that links special elections to media behavior. The dataset I compile is structured at the week-by-newspaper-outlet level. The observation period for special elections begins with the First Congress in 1789 and extends to the 2024 election. The observation period for the newspaper analysis is shorter due to data availability and covers the period from 1900 to 2020.</w:t>
      </w:r>
    </w:p>
    <w:p w14:paraId="3B0AA302" w14:textId="4246D357" w:rsidR="001B729E" w:rsidRPr="009342B7" w:rsidRDefault="001B729E" w:rsidP="001C6397">
      <w:pPr>
        <w:spacing w:line="480" w:lineRule="auto"/>
      </w:pPr>
      <w:r w:rsidRPr="009342B7">
        <w:t>### Special election Data</w:t>
      </w:r>
    </w:p>
    <w:p w14:paraId="26CCA988" w14:textId="77777777" w:rsidR="009342B7" w:rsidRDefault="009342B7" w:rsidP="001C6397">
      <w:pPr>
        <w:spacing w:line="480" w:lineRule="auto"/>
      </w:pPr>
      <w:r>
        <w:t xml:space="preserve">As the data foundation for special elections, I merge datasets on members of Congress with datasets on special elections. The primary data source is the </w:t>
      </w:r>
      <w:r>
        <w:rPr>
          <w:rStyle w:val="Hervorhebung"/>
        </w:rPr>
        <w:t>Biographical Directory of the United States Congress</w:t>
      </w:r>
      <w:r>
        <w:t xml:space="preserve"> (Bioguide). The dataset is structured at the legislator-by-Congress level and includes information on the beginning and end of representatives’ terms, as well as, in cases where a term ends early, the reason for that early termination. However, the recorded reason for the end of a term is fairly coarse and usually contains only information on whether the individual died or resigned. In addition, the dataset includes a biographical text with further information on each </w:t>
      </w:r>
      <w:r>
        <w:lastRenderedPageBreak/>
        <w:t>legislator. One challenge in the data is that the beginning of the term does not necessarily correspond to the time at which legislators were sworn in.</w:t>
      </w:r>
    </w:p>
    <w:p w14:paraId="1B893B61" w14:textId="1D40F47E" w:rsidR="009342B7" w:rsidRDefault="009342B7" w:rsidP="001C6397">
      <w:pPr>
        <w:spacing w:line="480" w:lineRule="auto"/>
      </w:pPr>
      <w:r>
        <w:t>I combine the individual congressional data with data on special elections. Existing datasets on special elections, such as those by</w:t>
      </w:r>
      <w:r>
        <w:t xml:space="preserve"> Hirano and</w:t>
      </w:r>
      <w:r>
        <w:t xml:space="preserve"> Snyder</w:t>
      </w:r>
      <w:r>
        <w:t xml:space="preserve"> (2014)</w:t>
      </w:r>
      <w:r>
        <w:t xml:space="preserve">, cover only a fraction of the full observation period. The only comprehensive dataset on special elections that extends back to the First Congress is available on Wikipedia. </w:t>
      </w:r>
      <w:r w:rsidR="0003400A">
        <w:t>Although the data quality of Wikipedia may reasonably be questioned, I justify its use in this project because no better source exists for the full period. I validate these data using information from the notes contained in Bioguide.</w:t>
      </w:r>
    </w:p>
    <w:p w14:paraId="73768B79" w14:textId="77777777" w:rsidR="0003400A" w:rsidRDefault="0003400A" w:rsidP="001C6397">
      <w:pPr>
        <w:spacing w:line="480" w:lineRule="auto"/>
      </w:pPr>
      <w:r>
        <w:t xml:space="preserve">Information on causes of death also comes from Wikipedia. Wikipedia in turn lists </w:t>
      </w:r>
      <w:r>
        <w:rPr>
          <w:rStyle w:val="Hervorhebung"/>
        </w:rPr>
        <w:t>Memorial Addresses</w:t>
      </w:r>
      <w:r>
        <w:t xml:space="preserve"> from HathiTrust as the primary source. Again, I use the Bioguide information available to me to verify the recorded causes of death. I then classify causes of death by means of keyword matching into the categories illness (fast), illness (slow), accident, violence, and unclear/unknown. In later analyses, I distinguish between these different forms of death as a robustness test.</w:t>
      </w:r>
    </w:p>
    <w:p w14:paraId="3C4F8D58" w14:textId="77777777" w:rsidR="0003400A" w:rsidRDefault="0003400A" w:rsidP="001C6397">
      <w:pPr>
        <w:spacing w:line="480" w:lineRule="auto"/>
      </w:pPr>
      <w:r>
        <w:t>I merge these datasets into a joint special election dataset that records, for each special election, who left Congress and who was elected as a replacement, including the relevant biographical information, the reason the special election occurred, and, if the original member of Congress died, the cause of death.</w:t>
      </w:r>
    </w:p>
    <w:p w14:paraId="051CFA09" w14:textId="55B282C4" w:rsidR="002A63B7" w:rsidRPr="0003400A" w:rsidRDefault="00643B8F" w:rsidP="001C6397">
      <w:pPr>
        <w:spacing w:line="480" w:lineRule="auto"/>
      </w:pPr>
      <w:r w:rsidRPr="0003400A">
        <w:t>### Newspaper Data</w:t>
      </w:r>
    </w:p>
    <w:p w14:paraId="29B243C9" w14:textId="77777777" w:rsidR="0003400A" w:rsidRDefault="0003400A" w:rsidP="001C6397">
      <w:pPr>
        <w:spacing w:line="480" w:lineRule="auto"/>
      </w:pPr>
      <w:r>
        <w:t xml:space="preserve">The newspaper data come from ProQuest TDM Studio. TDM Studio provides access to a large number of newspaper archives, including historical newspapers collected and </w:t>
      </w:r>
      <w:r>
        <w:lastRenderedPageBreak/>
        <w:t>curated by ProQuest itself. For my research design, I consider only U.S. newspaper outlets for which historical newspaper articles are available. Given computational constraints, while still aiming to ensure geographic coverage, I select representative outlets from each region of the United States. To the extent that a newspaper’s political orientation does not affect its internal pluralism, the specific choice of outlet is of lesser importance. I focus on newspapers with a long tradition in their respective regions and a reputation for journalistic standards, so that no obvious biases are introduced into my models.</w:t>
      </w:r>
    </w:p>
    <w:p w14:paraId="26066225" w14:textId="77777777" w:rsidR="0003400A" w:rsidRDefault="0003400A" w:rsidP="001C6397">
      <w:pPr>
        <w:spacing w:line="480" w:lineRule="auto"/>
      </w:pPr>
      <w:r>
        <w:t xml:space="preserve">For the Northeast, I use historical newspaper articles from the </w:t>
      </w:r>
      <w:r>
        <w:rPr>
          <w:rStyle w:val="Hervorhebung"/>
        </w:rPr>
        <w:t>New York Times</w:t>
      </w:r>
      <w:r>
        <w:t xml:space="preserve">. For the South, I draw on </w:t>
      </w:r>
      <w:r>
        <w:rPr>
          <w:rStyle w:val="Hervorhebung"/>
        </w:rPr>
        <w:t>The Atlanta Constitution</w:t>
      </w:r>
      <w:r>
        <w:t xml:space="preserve"> and </w:t>
      </w:r>
      <w:r>
        <w:rPr>
          <w:rStyle w:val="Hervorhebung"/>
        </w:rPr>
        <w:t>The Baltimore Sun</w:t>
      </w:r>
      <w:r>
        <w:t xml:space="preserve">. For the Midwest, I use historical articles from the </w:t>
      </w:r>
      <w:r>
        <w:rPr>
          <w:rStyle w:val="Hervorhebung"/>
        </w:rPr>
        <w:t>Chicago Tribune</w:t>
      </w:r>
      <w:r>
        <w:t xml:space="preserve">, and for the West, I use the </w:t>
      </w:r>
      <w:r>
        <w:rPr>
          <w:rStyle w:val="Hervorhebung"/>
        </w:rPr>
        <w:t>Los Angeles Times</w:t>
      </w:r>
      <w:r>
        <w:t xml:space="preserve"> and the </w:t>
      </w:r>
      <w:r>
        <w:rPr>
          <w:rStyle w:val="Hervorhebung"/>
        </w:rPr>
        <w:t>Los Angeles Sentinel</w:t>
      </w:r>
      <w:r>
        <w:t>.</w:t>
      </w:r>
    </w:p>
    <w:p w14:paraId="257B4613" w14:textId="053C107C" w:rsidR="0003400A" w:rsidRPr="0003400A" w:rsidRDefault="0003400A" w:rsidP="001C6397">
      <w:pPr>
        <w:spacing w:line="480" w:lineRule="auto"/>
      </w:pPr>
      <w:r>
        <w:t xml:space="preserve">To make the number of articles manageable, I restrict the sample to English-language articles classified as “news” and containing political keywords such as </w:t>
      </w:r>
      <w:r>
        <w:rPr>
          <w:rStyle w:val="Hervorhebung"/>
        </w:rPr>
        <w:t>Congress</w:t>
      </w:r>
      <w:r>
        <w:t xml:space="preserve">, </w:t>
      </w:r>
      <w:r>
        <w:rPr>
          <w:rStyle w:val="Hervorhebung"/>
        </w:rPr>
        <w:t>election</w:t>
      </w:r>
      <w:r>
        <w:t xml:space="preserve">, or </w:t>
      </w:r>
      <w:r>
        <w:rPr>
          <w:rStyle w:val="Hervorhebung"/>
        </w:rPr>
        <w:t>campaign</w:t>
      </w:r>
      <w:r>
        <w:t xml:space="preserve"> in the full text. </w:t>
      </w:r>
      <w:r w:rsidRPr="0003400A">
        <w:t>After filtering, the dataset contains 1,347,370 articles</w:t>
      </w:r>
      <w:r w:rsidRPr="0003400A">
        <w:t>.</w:t>
      </w:r>
    </w:p>
    <w:p w14:paraId="61E94017" w14:textId="77777777" w:rsidR="0003400A" w:rsidRDefault="0003400A" w:rsidP="001C6397">
      <w:pPr>
        <w:spacing w:line="480" w:lineRule="auto"/>
      </w:pPr>
      <w:r>
        <w:t>ProQuest provides downloadable metadata for each article. For this analysis, I use the title and the date of each article. I analyze the titles using the large language model Llama 3.2, a 3-billion-parameter model. I use a prompting approach to have the model classify titles as either neutral (0) or partisan bias (1). This classification serves as the operationalization for Hypothesis 2. In addition, it is possible to run a content analysis of the full articles on the servers of TDM Studio. However, analyzing the full content of individual articles is beyond the scope of this project.</w:t>
      </w:r>
    </w:p>
    <w:p w14:paraId="78F4CB33" w14:textId="18828306" w:rsidR="00131E9B" w:rsidRPr="007F344C" w:rsidRDefault="00131E9B" w:rsidP="001C6397">
      <w:pPr>
        <w:spacing w:line="480" w:lineRule="auto"/>
        <w:rPr>
          <w:lang w:val="de-DE"/>
        </w:rPr>
      </w:pPr>
      <w:r w:rsidRPr="0003400A">
        <w:rPr>
          <w:lang w:val="de-DE"/>
        </w:rPr>
        <w:lastRenderedPageBreak/>
        <w:t xml:space="preserve">## </w:t>
      </w:r>
      <w:r>
        <w:rPr>
          <w:lang w:val="de-DE"/>
        </w:rPr>
        <w:t>Idenfikationsstrategie</w:t>
      </w:r>
      <w:r w:rsidR="005240C1">
        <w:rPr>
          <w:lang w:val="de-DE"/>
        </w:rPr>
        <w:t xml:space="preserve"> und Threats der Identifkation</w:t>
      </w:r>
    </w:p>
    <w:p w14:paraId="1032DB57" w14:textId="721B20DB" w:rsidR="00A528CB" w:rsidRDefault="00A528CB" w:rsidP="001C6397">
      <w:pPr>
        <w:spacing w:line="480" w:lineRule="auto"/>
      </w:pPr>
      <w:r>
        <w:t>For identification, I use a combination of event-study and difference-in-differences (DiD) designs</w:t>
      </w:r>
      <w:r>
        <w:t xml:space="preserve"> (</w:t>
      </w:r>
      <w:r>
        <w:t>Angrist and Pischke 2009</w:t>
      </w:r>
      <w:r>
        <w:t>)</w:t>
      </w:r>
      <w:r>
        <w:t>. Both are well suited to the analysis of panel data in the presence of an exogenous shock</w:t>
      </w:r>
      <w:r>
        <w:t xml:space="preserve"> (</w:t>
      </w:r>
      <w:r>
        <w:t>Roth et al. 2023</w:t>
      </w:r>
      <w:r>
        <w:t>)</w:t>
      </w:r>
      <w:r>
        <w:t>. Both designs require the classification of observations into a treatment group and a control group that are independent of one another. Because I do not observe newspaper circulation, the geographic reach of newspapers can only be proxied. I therefore use U.S. regions as the coarsest possible level of regional clustering. A region is treated if it is in a vacancy period prior to a special election. I define the observation window as the 12 weeks of a special-election campaign and use the 12 weeks prior to the death or resignation of a House member as the reference period. The remaining regions in the same time period serve as the control group.</w:t>
      </w:r>
    </w:p>
    <w:p w14:paraId="14201318" w14:textId="678D83FE" w:rsidR="00A528CB" w:rsidRDefault="00A528CB" w:rsidP="001C6397">
      <w:pPr>
        <w:spacing w:line="480" w:lineRule="auto"/>
      </w:pPr>
      <w:r>
        <w:t>Another central assumption of event-study and difference-in-differences designs is the common-trends, or parallel-trends, assumption</w:t>
      </w:r>
      <w:r>
        <w:t xml:space="preserve"> (</w:t>
      </w:r>
      <w:r>
        <w:t>Angrist and Pischke 2009</w:t>
      </w:r>
      <w:r>
        <w:t>)</w:t>
      </w:r>
      <w:r>
        <w:t>. This assumption states that, in the absence of treatment, the outcome variable in the treatment group would have evolved in parallel to that in the control group, so that any changes in the treatment group can be attributed to the treatment alone. This is plausible given the exogenous nature of the treatment. During the campaign period, there may be additional influences on the media environment, such as political advertising by parties, candidates, or interest groups (Fowler, Franz, and Ridout 2016), but these are all confounded with the event of the political campaign and therefore form part of the effect I seek to estimate.</w:t>
      </w:r>
    </w:p>
    <w:p w14:paraId="74E8FBE1" w14:textId="509235A0" w:rsidR="008F4995" w:rsidRPr="0000551F" w:rsidRDefault="008F4995" w:rsidP="001C6397">
      <w:pPr>
        <w:spacing w:line="480" w:lineRule="auto"/>
        <w:rPr>
          <w:lang w:val="de-DE"/>
        </w:rPr>
      </w:pPr>
      <w:r>
        <w:rPr>
          <w:lang w:val="de-DE"/>
        </w:rPr>
        <w:t># Results</w:t>
      </w:r>
    </w:p>
    <w:p w14:paraId="17C298B1" w14:textId="77777777" w:rsidR="0000551F" w:rsidRPr="0000551F" w:rsidRDefault="0000551F" w:rsidP="001C6397">
      <w:pPr>
        <w:spacing w:line="480" w:lineRule="auto"/>
        <w:rPr>
          <w:lang w:val="de-DE"/>
        </w:rPr>
      </w:pPr>
    </w:p>
    <w:p w14:paraId="1B2A451E" w14:textId="3DB42D7E" w:rsidR="0090330E" w:rsidRPr="009342B7" w:rsidRDefault="0090330E" w:rsidP="001C6397">
      <w:pPr>
        <w:spacing w:line="480" w:lineRule="auto"/>
        <w:rPr>
          <w:lang w:val="de-DE"/>
        </w:rPr>
      </w:pPr>
      <w:r w:rsidRPr="009342B7">
        <w:rPr>
          <w:lang w:val="de-DE"/>
        </w:rPr>
        <w:t># Discussion</w:t>
      </w:r>
    </w:p>
    <w:p w14:paraId="5027160C" w14:textId="0685BA28" w:rsidR="0000551F" w:rsidRPr="0000551F" w:rsidRDefault="0000551F" w:rsidP="001C6397">
      <w:pPr>
        <w:spacing w:line="480" w:lineRule="auto"/>
      </w:pPr>
      <w:r>
        <w:rPr>
          <w:lang w:val="de-DE"/>
        </w:rPr>
        <w:t>Doch auch mit dieser Stratgie ist die SUTVA assumption p</w:t>
      </w:r>
      <w:r w:rsidRPr="0000551F">
        <w:rPr>
          <w:lang w:val="de-DE"/>
        </w:rPr>
        <w:t xml:space="preserve">robably violated. </w:t>
      </w:r>
      <w:r w:rsidRPr="0000551F">
        <w:t>Historical newspaper outlets are major outlets with readership across the entire U.S., not only regionally. An event-study design can partially test for such spillovers.</w:t>
      </w:r>
    </w:p>
    <w:p w14:paraId="33CA977B" w14:textId="3C9423D2" w:rsidR="0090330E" w:rsidRDefault="0090330E" w:rsidP="001C6397">
      <w:pPr>
        <w:spacing w:line="480" w:lineRule="auto"/>
        <w:rPr>
          <w:lang w:val="de-DE"/>
        </w:rPr>
      </w:pPr>
      <w:r>
        <w:rPr>
          <w:lang w:val="de-DE"/>
        </w:rPr>
        <w:t>Die Theorie über Informationen geht davon aus, dass Informationen grundsätzlich positiv ist. Diese Studie hat jedoch gezeigt, dass Informationen vor Wahlen einen starken slant haben und internen Pluralismus lacken. Es stellt sich somit die Frage, welche Auswirkung verschiedenen Medienkonsum auf die Wahleinstellung hat.</w:t>
      </w:r>
    </w:p>
    <w:p w14:paraId="1EC9293D" w14:textId="77777777" w:rsidR="00131E9B" w:rsidRPr="00ED10C6" w:rsidRDefault="00131E9B" w:rsidP="001C6397">
      <w:pPr>
        <w:spacing w:line="480" w:lineRule="auto"/>
        <w:rPr>
          <w:lang w:val="de-DE"/>
        </w:rPr>
      </w:pPr>
    </w:p>
    <w:p w14:paraId="5C97B42A" w14:textId="77777777" w:rsidR="00C1097C" w:rsidRPr="00ED10C6" w:rsidRDefault="00C1097C" w:rsidP="001C6397">
      <w:pPr>
        <w:spacing w:line="480" w:lineRule="auto"/>
        <w:rPr>
          <w:lang w:val="de-DE"/>
        </w:rPr>
      </w:pPr>
    </w:p>
    <w:sectPr w:rsidR="00C1097C" w:rsidRPr="00ED1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21C9B"/>
    <w:multiLevelType w:val="hybridMultilevel"/>
    <w:tmpl w:val="5C2EC26E"/>
    <w:lvl w:ilvl="0" w:tplc="7AA46A4E">
      <w:start w:val="1"/>
      <w:numFmt w:val="bullet"/>
      <w:lvlText w:val=""/>
      <w:lvlJc w:val="left"/>
      <w:pPr>
        <w:tabs>
          <w:tab w:val="num" w:pos="720"/>
        </w:tabs>
        <w:ind w:left="720" w:hanging="360"/>
      </w:pPr>
      <w:rPr>
        <w:rFonts w:ascii="Symbol" w:hAnsi="Symbol" w:hint="default"/>
      </w:rPr>
    </w:lvl>
    <w:lvl w:ilvl="1" w:tplc="9AEE23E4" w:tentative="1">
      <w:start w:val="1"/>
      <w:numFmt w:val="bullet"/>
      <w:lvlText w:val=""/>
      <w:lvlJc w:val="left"/>
      <w:pPr>
        <w:tabs>
          <w:tab w:val="num" w:pos="1440"/>
        </w:tabs>
        <w:ind w:left="1440" w:hanging="360"/>
      </w:pPr>
      <w:rPr>
        <w:rFonts w:ascii="Symbol" w:hAnsi="Symbol" w:hint="default"/>
      </w:rPr>
    </w:lvl>
    <w:lvl w:ilvl="2" w:tplc="2EFE0E3C">
      <w:start w:val="1"/>
      <w:numFmt w:val="bullet"/>
      <w:lvlText w:val=""/>
      <w:lvlJc w:val="left"/>
      <w:pPr>
        <w:tabs>
          <w:tab w:val="num" w:pos="2160"/>
        </w:tabs>
        <w:ind w:left="2160" w:hanging="360"/>
      </w:pPr>
      <w:rPr>
        <w:rFonts w:ascii="Symbol" w:hAnsi="Symbol" w:hint="default"/>
      </w:rPr>
    </w:lvl>
    <w:lvl w:ilvl="3" w:tplc="6C428CE6" w:tentative="1">
      <w:start w:val="1"/>
      <w:numFmt w:val="bullet"/>
      <w:lvlText w:val=""/>
      <w:lvlJc w:val="left"/>
      <w:pPr>
        <w:tabs>
          <w:tab w:val="num" w:pos="2880"/>
        </w:tabs>
        <w:ind w:left="2880" w:hanging="360"/>
      </w:pPr>
      <w:rPr>
        <w:rFonts w:ascii="Symbol" w:hAnsi="Symbol" w:hint="default"/>
      </w:rPr>
    </w:lvl>
    <w:lvl w:ilvl="4" w:tplc="B5EE1910" w:tentative="1">
      <w:start w:val="1"/>
      <w:numFmt w:val="bullet"/>
      <w:lvlText w:val=""/>
      <w:lvlJc w:val="left"/>
      <w:pPr>
        <w:tabs>
          <w:tab w:val="num" w:pos="3600"/>
        </w:tabs>
        <w:ind w:left="3600" w:hanging="360"/>
      </w:pPr>
      <w:rPr>
        <w:rFonts w:ascii="Symbol" w:hAnsi="Symbol" w:hint="default"/>
      </w:rPr>
    </w:lvl>
    <w:lvl w:ilvl="5" w:tplc="DDB89A88" w:tentative="1">
      <w:start w:val="1"/>
      <w:numFmt w:val="bullet"/>
      <w:lvlText w:val=""/>
      <w:lvlJc w:val="left"/>
      <w:pPr>
        <w:tabs>
          <w:tab w:val="num" w:pos="4320"/>
        </w:tabs>
        <w:ind w:left="4320" w:hanging="360"/>
      </w:pPr>
      <w:rPr>
        <w:rFonts w:ascii="Symbol" w:hAnsi="Symbol" w:hint="default"/>
      </w:rPr>
    </w:lvl>
    <w:lvl w:ilvl="6" w:tplc="02E2D28A" w:tentative="1">
      <w:start w:val="1"/>
      <w:numFmt w:val="bullet"/>
      <w:lvlText w:val=""/>
      <w:lvlJc w:val="left"/>
      <w:pPr>
        <w:tabs>
          <w:tab w:val="num" w:pos="5040"/>
        </w:tabs>
        <w:ind w:left="5040" w:hanging="360"/>
      </w:pPr>
      <w:rPr>
        <w:rFonts w:ascii="Symbol" w:hAnsi="Symbol" w:hint="default"/>
      </w:rPr>
    </w:lvl>
    <w:lvl w:ilvl="7" w:tplc="B0CC34BE" w:tentative="1">
      <w:start w:val="1"/>
      <w:numFmt w:val="bullet"/>
      <w:lvlText w:val=""/>
      <w:lvlJc w:val="left"/>
      <w:pPr>
        <w:tabs>
          <w:tab w:val="num" w:pos="5760"/>
        </w:tabs>
        <w:ind w:left="5760" w:hanging="360"/>
      </w:pPr>
      <w:rPr>
        <w:rFonts w:ascii="Symbol" w:hAnsi="Symbol" w:hint="default"/>
      </w:rPr>
    </w:lvl>
    <w:lvl w:ilvl="8" w:tplc="E190D2D2" w:tentative="1">
      <w:start w:val="1"/>
      <w:numFmt w:val="bullet"/>
      <w:lvlText w:val=""/>
      <w:lvlJc w:val="left"/>
      <w:pPr>
        <w:tabs>
          <w:tab w:val="num" w:pos="6480"/>
        </w:tabs>
        <w:ind w:left="6480" w:hanging="360"/>
      </w:pPr>
      <w:rPr>
        <w:rFonts w:ascii="Symbol" w:hAnsi="Symbol" w:hint="default"/>
      </w:rPr>
    </w:lvl>
  </w:abstractNum>
  <w:num w:numId="1" w16cid:durableId="61093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98"/>
    <w:rsid w:val="0000335F"/>
    <w:rsid w:val="0000551F"/>
    <w:rsid w:val="000055D8"/>
    <w:rsid w:val="00021F36"/>
    <w:rsid w:val="0003400A"/>
    <w:rsid w:val="000B0C40"/>
    <w:rsid w:val="00131E9B"/>
    <w:rsid w:val="001A6CC9"/>
    <w:rsid w:val="001B729E"/>
    <w:rsid w:val="001C6397"/>
    <w:rsid w:val="002477B2"/>
    <w:rsid w:val="00252E90"/>
    <w:rsid w:val="002866F2"/>
    <w:rsid w:val="002A63B7"/>
    <w:rsid w:val="003B3F01"/>
    <w:rsid w:val="00424B48"/>
    <w:rsid w:val="0043039C"/>
    <w:rsid w:val="00451143"/>
    <w:rsid w:val="004B4AFA"/>
    <w:rsid w:val="004C723B"/>
    <w:rsid w:val="005240C1"/>
    <w:rsid w:val="00574198"/>
    <w:rsid w:val="005B12CF"/>
    <w:rsid w:val="00600A21"/>
    <w:rsid w:val="00605FC3"/>
    <w:rsid w:val="00615CC3"/>
    <w:rsid w:val="00625FC9"/>
    <w:rsid w:val="00643B8F"/>
    <w:rsid w:val="00732D6D"/>
    <w:rsid w:val="007979E5"/>
    <w:rsid w:val="007A46ED"/>
    <w:rsid w:val="007F344C"/>
    <w:rsid w:val="007F56DC"/>
    <w:rsid w:val="0080370C"/>
    <w:rsid w:val="00825303"/>
    <w:rsid w:val="008C3C36"/>
    <w:rsid w:val="008F4995"/>
    <w:rsid w:val="0090330E"/>
    <w:rsid w:val="00914CD4"/>
    <w:rsid w:val="009342B7"/>
    <w:rsid w:val="00987226"/>
    <w:rsid w:val="00A276EA"/>
    <w:rsid w:val="00A528CB"/>
    <w:rsid w:val="00AB4A5B"/>
    <w:rsid w:val="00AB5933"/>
    <w:rsid w:val="00AC5DA1"/>
    <w:rsid w:val="00AE69BB"/>
    <w:rsid w:val="00B12D17"/>
    <w:rsid w:val="00B26992"/>
    <w:rsid w:val="00B4714D"/>
    <w:rsid w:val="00BB17EF"/>
    <w:rsid w:val="00C1097C"/>
    <w:rsid w:val="00CB1351"/>
    <w:rsid w:val="00D46E45"/>
    <w:rsid w:val="00D85143"/>
    <w:rsid w:val="00D945BD"/>
    <w:rsid w:val="00EA0395"/>
    <w:rsid w:val="00ED0931"/>
    <w:rsid w:val="00ED10C6"/>
    <w:rsid w:val="00EF6DDB"/>
    <w:rsid w:val="00F06371"/>
    <w:rsid w:val="00F24184"/>
    <w:rsid w:val="00F82101"/>
    <w:rsid w:val="00F9099C"/>
    <w:rsid w:val="00F90FD7"/>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decimalSymbol w:val=","/>
  <w:listSeparator w:val=";"/>
  <w14:docId w14:val="6292770F"/>
  <w15:chartTrackingRefBased/>
  <w15:docId w15:val="{7825DA59-A8EB-2345-8F93-BC538653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574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74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741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41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41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41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41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41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41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4198"/>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574198"/>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574198"/>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574198"/>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574198"/>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574198"/>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574198"/>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574198"/>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574198"/>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574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4198"/>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5741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4198"/>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5741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4198"/>
    <w:rPr>
      <w:i/>
      <w:iCs/>
      <w:color w:val="404040" w:themeColor="text1" w:themeTint="BF"/>
      <w:lang w:val="en-US"/>
    </w:rPr>
  </w:style>
  <w:style w:type="paragraph" w:styleId="Listenabsatz">
    <w:name w:val="List Paragraph"/>
    <w:basedOn w:val="Standard"/>
    <w:uiPriority w:val="34"/>
    <w:qFormat/>
    <w:rsid w:val="00574198"/>
    <w:pPr>
      <w:ind w:left="720"/>
      <w:contextualSpacing/>
    </w:pPr>
  </w:style>
  <w:style w:type="character" w:styleId="IntensiveHervorhebung">
    <w:name w:val="Intense Emphasis"/>
    <w:basedOn w:val="Absatz-Standardschriftart"/>
    <w:uiPriority w:val="21"/>
    <w:qFormat/>
    <w:rsid w:val="00574198"/>
    <w:rPr>
      <w:i/>
      <w:iCs/>
      <w:color w:val="0F4761" w:themeColor="accent1" w:themeShade="BF"/>
    </w:rPr>
  </w:style>
  <w:style w:type="paragraph" w:styleId="IntensivesZitat">
    <w:name w:val="Intense Quote"/>
    <w:basedOn w:val="Standard"/>
    <w:next w:val="Standard"/>
    <w:link w:val="IntensivesZitatZchn"/>
    <w:uiPriority w:val="30"/>
    <w:qFormat/>
    <w:rsid w:val="00574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4198"/>
    <w:rPr>
      <w:i/>
      <w:iCs/>
      <w:color w:val="0F4761" w:themeColor="accent1" w:themeShade="BF"/>
      <w:lang w:val="en-US"/>
    </w:rPr>
  </w:style>
  <w:style w:type="character" w:styleId="IntensiverVerweis">
    <w:name w:val="Intense Reference"/>
    <w:basedOn w:val="Absatz-Standardschriftart"/>
    <w:uiPriority w:val="32"/>
    <w:qFormat/>
    <w:rsid w:val="00574198"/>
    <w:rPr>
      <w:b/>
      <w:bCs/>
      <w:smallCaps/>
      <w:color w:val="0F4761" w:themeColor="accent1" w:themeShade="BF"/>
      <w:spacing w:val="5"/>
    </w:rPr>
  </w:style>
  <w:style w:type="character" w:styleId="Fett">
    <w:name w:val="Strong"/>
    <w:basedOn w:val="Absatz-Standardschriftart"/>
    <w:uiPriority w:val="22"/>
    <w:qFormat/>
    <w:rsid w:val="00A276EA"/>
    <w:rPr>
      <w:b/>
      <w:bCs/>
    </w:rPr>
  </w:style>
  <w:style w:type="character" w:styleId="Hervorhebung">
    <w:name w:val="Emphasis"/>
    <w:basedOn w:val="Absatz-Standardschriftart"/>
    <w:uiPriority w:val="20"/>
    <w:qFormat/>
    <w:rsid w:val="009342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3132</Words>
  <Characters>18579</Characters>
  <Application>Microsoft Office Word</Application>
  <DocSecurity>0</DocSecurity>
  <Lines>294</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Haehn, Niklas</dc:creator>
  <cp:keywords/>
  <dc:description/>
  <cp:lastModifiedBy>Haehn, Niklas</cp:lastModifiedBy>
  <cp:revision>9</cp:revision>
  <dcterms:created xsi:type="dcterms:W3CDTF">2026-03-15T22:31:00Z</dcterms:created>
  <dcterms:modified xsi:type="dcterms:W3CDTF">2026-03-16T05:42:00Z</dcterms:modified>
</cp:coreProperties>
</file>