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520"/>
        <w:jc w:val="center"/>
      </w:pPr>
      <w:r>
        <w:rPr>
          <w:rFonts w:ascii="Times New Roman" w:hAnsi="Times New Roman"/>
          <w:b/>
          <w:i w:val="0"/>
          <w:color w:val="000000"/>
          <w:sz w:val="28"/>
        </w:rPr>
        <w:t>U.S. PROVISIONAL PATENT APPLICATION</w:t>
      </w:r>
    </w:p>
    <w:p>
      <w:pPr>
        <w:spacing w:before="280" w:after="560"/>
        <w:jc w:val="center"/>
      </w:pPr>
      <w:r>
        <w:rPr>
          <w:rFonts w:ascii="Times New Roman" w:hAnsi="Times New Roman"/>
          <w:b/>
          <w:i w:val="0"/>
          <w:color w:val="000000"/>
          <w:sz w:val="36"/>
        </w:rPr>
        <w:t>CONTINUOUS-TARGET OVERLAP EVALUATION</w:t>
        <w:br/>
        <w:t>OF MACHINE-LEARNING REPRESENTATIONS</w:t>
      </w:r>
    </w:p>
    <w:p>
      <w:pPr>
        <w:spacing w:after="140"/>
        <w:ind w:left="648" w:hanging="648"/>
      </w:pPr>
      <w:r>
        <w:rPr>
          <w:rFonts w:ascii="Times New Roman" w:hAnsi="Times New Roman"/>
          <w:b/>
          <w:i w:val="0"/>
          <w:color w:val="000000"/>
          <w:sz w:val="24"/>
        </w:rPr>
        <w:t xml:space="preserve">Inventor: </w:t>
      </w:r>
      <w:r>
        <w:rPr>
          <w:rFonts w:ascii="Times New Roman" w:hAnsi="Times New Roman"/>
          <w:b w:val="0"/>
          <w:i w:val="0"/>
          <w:color w:val="000000"/>
          <w:sz w:val="24"/>
        </w:rPr>
        <w:t>Niklas Max Melton</w:t>
      </w:r>
    </w:p>
    <w:p>
      <w:pPr>
        <w:spacing w:after="140"/>
        <w:ind w:left="648" w:hanging="648"/>
      </w:pPr>
      <w:r>
        <w:rPr>
          <w:rFonts w:ascii="Times New Roman" w:hAnsi="Times New Roman"/>
          <w:b/>
          <w:i w:val="0"/>
          <w:color w:val="000000"/>
          <w:sz w:val="24"/>
        </w:rPr>
        <w:t xml:space="preserve">Inventor residence: </w:t>
      </w:r>
      <w:r>
        <w:rPr>
          <w:rFonts w:ascii="Times New Roman" w:hAnsi="Times New Roman"/>
          <w:b w:val="0"/>
          <w:i w:val="0"/>
          <w:color w:val="000000"/>
          <w:sz w:val="24"/>
        </w:rPr>
        <w:t>4606 NW Apache Ct., Riverside, Missouri 64150, USA</w:t>
      </w:r>
    </w:p>
    <w:p>
      <w:pPr>
        <w:spacing w:after="140"/>
        <w:ind w:left="648" w:hanging="648"/>
      </w:pPr>
      <w:r>
        <w:rPr>
          <w:rFonts w:ascii="Times New Roman" w:hAnsi="Times New Roman"/>
          <w:b/>
          <w:i w:val="0"/>
          <w:color w:val="000000"/>
          <w:sz w:val="24"/>
        </w:rPr>
        <w:t xml:space="preserve">Applicant: </w:t>
      </w:r>
      <w:r>
        <w:rPr>
          <w:rFonts w:ascii="Times New Roman" w:hAnsi="Times New Roman"/>
          <w:b w:val="0"/>
          <w:i w:val="0"/>
          <w:color w:val="000000"/>
          <w:sz w:val="24"/>
        </w:rPr>
        <w:t>Niklas Max Melton</w:t>
      </w:r>
    </w:p>
    <w:p>
      <w:pPr>
        <w:spacing w:after="140"/>
        <w:ind w:left="648" w:hanging="648"/>
      </w:pPr>
      <w:r>
        <w:rPr>
          <w:rFonts w:ascii="Times New Roman" w:hAnsi="Times New Roman"/>
          <w:b/>
          <w:i w:val="0"/>
          <w:color w:val="000000"/>
          <w:sz w:val="24"/>
        </w:rPr>
        <w:t xml:space="preserve">Associated business: </w:t>
      </w:r>
      <w:r>
        <w:rPr>
          <w:rFonts w:ascii="Times New Roman" w:hAnsi="Times New Roman"/>
          <w:b w:val="0"/>
          <w:i w:val="0"/>
          <w:color w:val="000000"/>
          <w:sz w:val="24"/>
        </w:rPr>
        <w:t>Big Brain Elephant AI (BBEAI)</w:t>
      </w:r>
    </w:p>
    <w:p>
      <w:pPr>
        <w:spacing w:after="140"/>
        <w:ind w:left="648" w:hanging="648"/>
      </w:pPr>
      <w:r>
        <w:rPr>
          <w:rFonts w:ascii="Times New Roman" w:hAnsi="Times New Roman"/>
          <w:b/>
          <w:i w:val="0"/>
          <w:color w:val="000000"/>
          <w:sz w:val="24"/>
        </w:rPr>
        <w:t xml:space="preserve">Known public disclosure: </w:t>
      </w:r>
      <w:r>
        <w:rPr>
          <w:rFonts w:ascii="Times New Roman" w:hAnsi="Times New Roman"/>
          <w:b w:val="0"/>
          <w:i w:val="0"/>
          <w:color w:val="000000"/>
          <w:sz w:val="24"/>
        </w:rPr>
        <w:t>NiklasMelton/OverlapIndex (https://github.com/NiklasMelton/OverlapIndex/), commit 2eef5c5a7409627803968d046a12d2ba1064fbc3, June 19, 2026</w:t>
      </w:r>
    </w:p>
    <w:p>
      <w:pPr>
        <w:spacing w:after="140"/>
        <w:ind w:left="648" w:hanging="648"/>
      </w:pPr>
      <w:r>
        <w:rPr>
          <w:rFonts w:ascii="Times New Roman" w:hAnsi="Times New Roman"/>
          <w:b/>
          <w:i w:val="0"/>
          <w:color w:val="000000"/>
          <w:sz w:val="24"/>
        </w:rPr>
        <w:t xml:space="preserve">Correspondence address: </w:t>
      </w:r>
      <w:r>
        <w:rPr>
          <w:rFonts w:ascii="Times New Roman" w:hAnsi="Times New Roman"/>
          <w:b w:val="0"/>
          <w:i w:val="0"/>
          <w:color w:val="000000"/>
          <w:sz w:val="24"/>
        </w:rPr>
        <w:t>Niklas Max Melton, 4606 NW Apache Ct., Riverside, Missouri 64150, USA</w:t>
      </w:r>
    </w:p>
    <w:p>
      <w:pPr>
        <w:spacing w:after="140"/>
        <w:ind w:left="648" w:hanging="648"/>
      </w:pPr>
      <w:r>
        <w:rPr>
          <w:rFonts w:ascii="Times New Roman" w:hAnsi="Times New Roman"/>
          <w:b/>
          <w:i w:val="0"/>
          <w:color w:val="000000"/>
          <w:sz w:val="24"/>
        </w:rPr>
        <w:t xml:space="preserve">Attorney/agent and docket: </w:t>
      </w:r>
      <w:r>
        <w:rPr>
          <w:rFonts w:ascii="Times New Roman" w:hAnsi="Times New Roman"/>
          <w:b w:val="0"/>
          <w:i w:val="0"/>
          <w:color w:val="000000"/>
          <w:sz w:val="24"/>
        </w:rPr>
        <w:t>None</w:t>
      </w:r>
    </w:p>
    <w:p>
      <w:pPr>
        <w:spacing w:after="140"/>
        <w:ind w:left="648" w:hanging="648"/>
      </w:pPr>
      <w:r>
        <w:rPr>
          <w:rFonts w:ascii="Times New Roman" w:hAnsi="Times New Roman"/>
          <w:b/>
          <w:i w:val="0"/>
          <w:color w:val="000000"/>
          <w:sz w:val="24"/>
        </w:rPr>
        <w:t xml:space="preserve">Government interest: </w:t>
      </w:r>
      <w:r>
        <w:rPr>
          <w:rFonts w:ascii="Times New Roman" w:hAnsi="Times New Roman"/>
          <w:b w:val="0"/>
          <w:i w:val="0"/>
          <w:color w:val="000000"/>
          <w:sz w:val="24"/>
        </w:rPr>
        <w:t>None</w:t>
      </w:r>
    </w:p>
    <w:p>
      <w:pPr>
        <w:spacing w:after="140"/>
        <w:ind w:left="648" w:hanging="648"/>
      </w:pPr>
      <w:r>
        <w:rPr>
          <w:rFonts w:ascii="Times New Roman" w:hAnsi="Times New Roman"/>
          <w:b/>
          <w:i w:val="0"/>
          <w:color w:val="000000"/>
          <w:sz w:val="24"/>
        </w:rPr>
        <w:t xml:space="preserve">Preparation date: </w:t>
      </w:r>
      <w:r>
        <w:rPr>
          <w:rFonts w:ascii="Times New Roman" w:hAnsi="Times New Roman"/>
          <w:b w:val="0"/>
          <w:i w:val="0"/>
          <w:color w:val="000000"/>
          <w:sz w:val="24"/>
        </w:rPr>
        <w:t>July 20, 2026</w:t>
      </w:r>
    </w:p>
    <w:p>
      <w:pPr>
        <w:pStyle w:val="Heading1"/>
        <w:keepNext/>
        <w:pageBreakBefore/>
      </w:pPr>
      <w:r>
        <w:t>TITLE OF THE DISCLOSURE</w:t>
      </w:r>
    </w:p>
    <w:p>
      <w:r>
        <w:rPr>
          <w:rFonts w:ascii="Times New Roman" w:hAnsi="Times New Roman"/>
          <w:b w:val="0"/>
          <w:i w:val="0"/>
          <w:color w:val="000000"/>
          <w:sz w:val="24"/>
        </w:rPr>
        <w:t>[0001] Continuous-Target Overlap Evaluation of Machine-Learning Representations.</w:t>
      </w:r>
    </w:p>
    <w:p>
      <w:pPr>
        <w:pStyle w:val="Heading1"/>
        <w:keepNext/>
      </w:pPr>
      <w:r>
        <w:t>CROSS-REFERENCE TO RELATED APPLICATIONS</w:t>
      </w:r>
    </w:p>
    <w:p>
      <w:r>
        <w:rPr>
          <w:rFonts w:ascii="Times New Roman" w:hAnsi="Times New Roman"/>
          <w:b w:val="0"/>
          <w:i w:val="0"/>
          <w:color w:val="000000"/>
          <w:sz w:val="24"/>
        </w:rPr>
        <w:t>[0002] Not applicable.</w:t>
      </w:r>
    </w:p>
    <w:p>
      <w:pPr>
        <w:pStyle w:val="Heading1"/>
        <w:keepNext/>
      </w:pPr>
      <w:r>
        <w:t>STATEMENT REGARDING FEDERALLY SPONSORED RESEARCH OR DEVELOPMENT</w:t>
      </w:r>
    </w:p>
    <w:p>
      <w:r>
        <w:rPr>
          <w:rFonts w:ascii="Times New Roman" w:hAnsi="Times New Roman"/>
          <w:b w:val="0"/>
          <w:i w:val="0"/>
          <w:color w:val="000000"/>
          <w:sz w:val="24"/>
        </w:rPr>
        <w:t>[0003] Not applicable.</w:t>
      </w:r>
    </w:p>
    <w:p>
      <w:pPr>
        <w:pStyle w:val="Heading1"/>
        <w:keepNext/>
      </w:pPr>
      <w:r>
        <w:t>FIELD</w:t>
      </w:r>
    </w:p>
    <w:p>
      <w:r>
        <w:rPr>
          <w:rFonts w:ascii="Times New Roman" w:hAnsi="Times New Roman"/>
          <w:b w:val="0"/>
          <w:i w:val="0"/>
          <w:color w:val="000000"/>
          <w:sz w:val="24"/>
        </w:rPr>
        <w:t>[0004] The disclosure relates to computer-implemented evaluation of machine-learning data, feature representations, embeddings, encoders, and regression problems. More particularly, the disclosure relates to producing a continuous-target overlap index by measuring target-distribution disagreement among competing representation-space prototypes and calibrating the disagreement against a reference association between representations and targets.</w:t>
      </w:r>
    </w:p>
    <w:p>
      <w:pPr>
        <w:pStyle w:val="Heading1"/>
        <w:keepNext/>
      </w:pPr>
      <w:r>
        <w:t>BACKGROUND</w:t>
      </w:r>
    </w:p>
    <w:p>
      <w:r>
        <w:rPr>
          <w:rFonts w:ascii="Times New Roman" w:hAnsi="Times New Roman"/>
          <w:b w:val="0"/>
          <w:i w:val="0"/>
          <w:color w:val="000000"/>
          <w:sz w:val="24"/>
        </w:rPr>
        <w:t>[0005] Machine-learning systems frequently transform observations into feature vectors or embeddings before clustering, retrieval, classification, regression, anomaly detection, control, or another downstream operation. A representation may be learned without labels, for example through autoencoding, contrastive learning, masked prediction, self-distillation, reconstruction, or another self-supervised or unsupervised objective. Even when the representation is learned without target labels, a developer may possess a validation set having a continuous quantity of interest, such as age, time, temperature, concentration, position, phase, risk, severity, quality, remaining life, or a multivariate physical state.</w:t>
      </w:r>
    </w:p>
    <w:p>
      <w:r>
        <w:rPr>
          <w:rFonts w:ascii="Times New Roman" w:hAnsi="Times New Roman"/>
          <w:b w:val="0"/>
          <w:i w:val="0"/>
          <w:color w:val="000000"/>
          <w:sz w:val="24"/>
        </w:rPr>
        <w:t>[0006] Internal cluster-validity measures generally evaluate geometric compactness, separation, density, stability, or related properties without reference to a continuous downstream quantity. External measures commonly assume discrete labels. Directly converting a continuous target into a small number of classes can discard ordering, local smoothness, multimodality, heteroscedasticity, and other distributional information. The resulting score can depend strongly on arbitrary bin boundaries.</w:t>
      </w:r>
    </w:p>
    <w:p>
      <w:r>
        <w:rPr>
          <w:rFonts w:ascii="Times New Roman" w:hAnsi="Times New Roman"/>
          <w:b w:val="0"/>
          <w:i w:val="0"/>
          <w:color w:val="000000"/>
          <w:sz w:val="24"/>
        </w:rPr>
        <w:t>[0007] Regression error is also an incomplete diagnostic of representation quality or problem difficulty. A regression error depends on the selected predictor family, training procedure, regularization, sample split, and hyperparameters. Training many predictors merely to compare candidate representations or feature sets can be computationally expensive. A single global association measure can also conceal localized feature-space regions in which dissimilar target values are confounded.</w:t>
      </w:r>
    </w:p>
    <w:p>
      <w:r>
        <w:rPr>
          <w:rFonts w:ascii="Times New Roman" w:hAnsi="Times New Roman"/>
          <w:b w:val="0"/>
          <w:i w:val="0"/>
          <w:color w:val="000000"/>
          <w:sz w:val="24"/>
        </w:rPr>
        <w:t>[0008] A raw target discrepancy lacks a natural scale across datasets, target units, target dimensions, prototype counts, and representation geometries. A score that compares observed local incompatibility with incompatibility produced after altering the representation-target association can provide a dataset-specific reference. Accordingly, a need exists for computer techniques that detect harmful overlap in a representation with respect to continuous targets, retain empirical target-distribution information, expose local diagnostics, and produce a calibrated score useful for controlling machine-learning development or operation.</w:t>
      </w:r>
    </w:p>
    <w:p>
      <w:r>
        <w:rPr>
          <w:rFonts w:ascii="Times New Roman" w:hAnsi="Times New Roman"/>
          <w:b w:val="0"/>
          <w:i w:val="0"/>
          <w:color w:val="000000"/>
          <w:sz w:val="24"/>
        </w:rPr>
        <w:t>[0009] The discussion in this Background is provided to place the disclosed subject matter in context. It is not an admission that any particular statement, combination, or characterization constitutes prior art.</w:t>
      </w:r>
    </w:p>
    <w:p>
      <w:pPr>
        <w:pStyle w:val="Heading1"/>
        <w:keepNext/>
      </w:pPr>
      <w:r>
        <w:t>SUMMARY</w:t>
      </w:r>
    </w:p>
    <w:p>
      <w:r>
        <w:rPr>
          <w:rFonts w:ascii="Times New Roman" w:hAnsi="Times New Roman"/>
          <w:b w:val="0"/>
          <w:i w:val="0"/>
          <w:color w:val="000000"/>
          <w:sz w:val="24"/>
        </w:rPr>
        <w:t>[0010] In one aspect, a computer-implemented method receives observations represented in a feature space and respective continuous target values. The method forms target-conditioned groups, regions, cells, neighborhoods, or memberships; generates one or more feature-space prototypes associated with respective target-conditioned groups; and associates observations with own prototypes. An empirical target measure is retained for each prototype.</w:t>
      </w:r>
    </w:p>
    <w:p>
      <w:r>
        <w:rPr>
          <w:rFonts w:ascii="Times New Roman" w:hAnsi="Times New Roman"/>
          <w:b w:val="0"/>
          <w:i w:val="0"/>
          <w:color w:val="000000"/>
          <w:sz w:val="24"/>
        </w:rPr>
        <w:t>[0011] For at least some observations or prototypes, the method determines one or more competing prototypes according to feature-space match, distance, similarity, activation, membership, or another compatibility score. The resulting competition events define a directed or undirected prototype-adjacency structure. A target-distribution discrepancy is computed between target measures of adjacent prototypes. The discrepancies are aggregated, optionally using adjacency mass and prototype support, to produce an observed disagreement loss.</w:t>
      </w:r>
    </w:p>
    <w:p>
      <w:r>
        <w:rPr>
          <w:rFonts w:ascii="Times New Roman" w:hAnsi="Times New Roman"/>
          <w:b w:val="0"/>
          <w:i w:val="0"/>
          <w:color w:val="000000"/>
          <w:sz w:val="24"/>
        </w:rPr>
        <w:t>[0012] A reference loss is estimated under at least one altered association between feature representations and targets. The altered association may be generated by permutation, conditional permutation, block permutation, resampling, simulation, label transport, random matching, or a fitted null model. In a full-refit embodiment, target groups, prototypes, assignments, adjacency, and target measures are regenerated for each altered association. In a fixed-structure embodiment, some or all fitted geometry is retained while target values or target measures are reassigned.</w:t>
      </w:r>
    </w:p>
    <w:p>
      <w:r>
        <w:rPr>
          <w:rFonts w:ascii="Times New Roman" w:hAnsi="Times New Roman"/>
          <w:b w:val="0"/>
          <w:i w:val="0"/>
          <w:color w:val="000000"/>
          <w:sz w:val="24"/>
        </w:rPr>
        <w:t>[0013] An overlap index is produced as a function of the observed disagreement loss and reference loss. In one embodiment, the index is bounded between zero and one and equals one minus an observed-to-reference loss ratio, subject to bounding. A high value indicates that feature-space competitors have comparatively compatible continuous-target distributions. A value near zero indicates null-like or worse-than-null target disagreement. Local prototype, region, edge, target-range, or observation diagnostics may also be produced.</w:t>
      </w:r>
    </w:p>
    <w:p>
      <w:r>
        <w:rPr>
          <w:rFonts w:ascii="Times New Roman" w:hAnsi="Times New Roman"/>
          <w:b w:val="0"/>
          <w:i w:val="0"/>
          <w:color w:val="000000"/>
          <w:sz w:val="24"/>
        </w:rPr>
        <w:t>[0014] The index may be used to rank or select unsupervised or self-supervised representations, select sensors or feature subsets, tune an encoder, stop training, compare data transformations, identify ambiguous target regions, assess regression-dataset difficulty, prioritize data acquisition, route records for review, reject a candidate deployment, monitor drift, or trigger retraining. These actions provide practical improvements to machine-learning development and operation by detecting target ambiguity without requiring the repeated training of a downstream regressor for every candidate representation.</w:t>
      </w:r>
    </w:p>
    <w:p>
      <w:r>
        <w:rPr>
          <w:rFonts w:ascii="Times New Roman" w:hAnsi="Times New Roman"/>
          <w:b w:val="0"/>
          <w:i w:val="0"/>
          <w:color w:val="000000"/>
          <w:sz w:val="24"/>
        </w:rPr>
        <w:t>[0015] The disclosed architecture is not limited to a particular prototype generator, target partition, target-distribution distance, adjacency rule, reference generator, or score mapping. The embodiments may be implemented locally, in a cloud service, on an edge device, in a distributed computing environment, or by a combination thereof.</w:t>
      </w:r>
    </w:p>
    <w:p>
      <w:pPr>
        <w:pStyle w:val="Heading1"/>
        <w:keepNext/>
      </w:pPr>
      <w:r>
        <w:t>BRIEF DESCRIPTION OF THE DRAWINGS</w:t>
      </w:r>
    </w:p>
    <w:p>
      <w:r>
        <w:rPr>
          <w:rFonts w:ascii="Times New Roman" w:hAnsi="Times New Roman"/>
          <w:b w:val="0"/>
          <w:i w:val="0"/>
          <w:color w:val="000000"/>
          <w:sz w:val="24"/>
        </w:rPr>
        <w:t>[0016] FIG. 1 is a block diagram of a continuous-target overlap evaluation system.</w:t>
      </w:r>
    </w:p>
    <w:p>
      <w:r>
        <w:rPr>
          <w:rFonts w:ascii="Times New Roman" w:hAnsi="Times New Roman"/>
          <w:b w:val="0"/>
          <w:i w:val="0"/>
          <w:color w:val="000000"/>
          <w:sz w:val="24"/>
        </w:rPr>
        <w:t>[0017] FIG. 2 is a flow diagram of a computer-implemented method for producing and using a continuous-target overlap index.</w:t>
      </w:r>
    </w:p>
    <w:p>
      <w:r>
        <w:rPr>
          <w:rFonts w:ascii="Times New Roman" w:hAnsi="Times New Roman"/>
          <w:b w:val="0"/>
          <w:i w:val="0"/>
          <w:color w:val="000000"/>
          <w:sz w:val="24"/>
        </w:rPr>
        <w:t>[0018] FIG. 3 illustrates a target-space cover and target-conditioned prototypes in a representation space.</w:t>
      </w:r>
    </w:p>
    <w:p>
      <w:r>
        <w:rPr>
          <w:rFonts w:ascii="Times New Roman" w:hAnsi="Times New Roman"/>
          <w:b w:val="0"/>
          <w:i w:val="0"/>
          <w:color w:val="000000"/>
          <w:sz w:val="24"/>
        </w:rPr>
        <w:t>[0019] FIG. 4 illustrates a directed prototype-adjacency graph whose edges carry normalized competitor mass and whose nodes carry empirical target measures.</w:t>
      </w:r>
    </w:p>
    <w:p>
      <w:r>
        <w:rPr>
          <w:rFonts w:ascii="Times New Roman" w:hAnsi="Times New Roman"/>
          <w:b w:val="0"/>
          <w:i w:val="0"/>
          <w:color w:val="000000"/>
          <w:sz w:val="24"/>
        </w:rPr>
        <w:t>[0020] FIG. 5 illustrates observed-loss and reference-loss branches used to calibrate an overlap index.</w:t>
      </w:r>
    </w:p>
    <w:p>
      <w:r>
        <w:rPr>
          <w:rFonts w:ascii="Times New Roman" w:hAnsi="Times New Roman"/>
          <w:b w:val="0"/>
          <w:i w:val="0"/>
          <w:color w:val="000000"/>
          <w:sz w:val="24"/>
        </w:rPr>
        <w:t>[0021] FIG. 6 illustrates a machine-learning evaluation and control workflow that uses the overlap index and local diagnostics.</w:t>
      </w:r>
    </w:p>
    <w:p>
      <w:pPr>
        <w:pStyle w:val="Heading1"/>
        <w:keepNext/>
      </w:pPr>
      <w:r>
        <w:t>DETAILED DESCRIPTION</w:t>
      </w:r>
    </w:p>
    <w:p>
      <w:pPr>
        <w:pStyle w:val="Heading2"/>
        <w:keepNext/>
      </w:pPr>
      <w:r>
        <w:t>I. Interpretive Conventions and Definitions</w:t>
      </w:r>
    </w:p>
    <w:p>
      <w:r>
        <w:rPr>
          <w:rFonts w:ascii="Times New Roman" w:hAnsi="Times New Roman"/>
          <w:b w:val="0"/>
          <w:i w:val="0"/>
          <w:color w:val="000000"/>
          <w:sz w:val="24"/>
        </w:rPr>
        <w:t>[0022] The following description is illustrative rather than limiting. A reference to “an embodiment,” “one embodiment,” “some embodiments,” or a similar phrase does not require that all described features occur in the same embodiment. Features described in connection with different embodiments may be combined in any technically operable manner. Unless expressly stated otherwise, method steps need not be performed in the recited order, and two or more steps may overlap or be performed concurrently.</w:t>
      </w:r>
    </w:p>
    <w:p>
      <w:r>
        <w:rPr>
          <w:rFonts w:ascii="Times New Roman" w:hAnsi="Times New Roman"/>
          <w:b w:val="0"/>
          <w:i w:val="0"/>
          <w:color w:val="000000"/>
          <w:sz w:val="24"/>
        </w:rPr>
        <w:t>[0023] As used herein, “observation” includes a physical measurement, sensor record, image, video segment, audio record, text record, graph, event, transaction, biological record, industrial record, simulated record, or other machine-processable data item. An observation may be represented by raw features or by a representation vector produced by a learned or fixed transformation.</w:t>
      </w:r>
    </w:p>
    <w:p>
      <w:r>
        <w:rPr>
          <w:rFonts w:ascii="Times New Roman" w:hAnsi="Times New Roman"/>
          <w:b w:val="0"/>
          <w:i w:val="0"/>
          <w:color w:val="000000"/>
          <w:sz w:val="24"/>
        </w:rPr>
        <w:t>[0024] A “representation” includes one or more numeric, categorical, sparse, dense, binary, real-valued, complex-valued, manifold-valued, or structured features usable by a machine-learning system. A representation may be produced by an encoder, neural network layer, kernel mapping, feature extractor, dimensionality-reduction process, signal-processing pipeline, foundation model, or manually specified transformation. A representation may itself comprise distances or similarities rather than explicit coordinates.</w:t>
      </w:r>
    </w:p>
    <w:p>
      <w:r>
        <w:rPr>
          <w:rFonts w:ascii="Times New Roman" w:hAnsi="Times New Roman"/>
          <w:b w:val="0"/>
          <w:i w:val="0"/>
          <w:color w:val="000000"/>
          <w:sz w:val="24"/>
        </w:rPr>
        <w:t>[0025] A “continuous target” includes a scalar, vector, tensor, trajectory, distribution, function, ordered measurement, cyclic measurement, interval, censored value, or other target having at least one noncategorical or ordered dimension. The term does not require mathematical continuity at every point. A target can include mixed continuous and categorical components, uncertainty, sample weights, repeated measurements, or missing components handled by an appropriate target discrepancy.</w:t>
      </w:r>
    </w:p>
    <w:p>
      <w:r>
        <w:rPr>
          <w:rFonts w:ascii="Times New Roman" w:hAnsi="Times New Roman"/>
          <w:b w:val="0"/>
          <w:i w:val="0"/>
          <w:color w:val="000000"/>
          <w:sz w:val="24"/>
        </w:rPr>
        <w:t>[0026] A “target-conditioned region” or “target cell” includes a hard or soft subset, interval, bin, cluster, cover element, neighborhood, basis function, node, leaf, or membership defined at least partly from target values. Target cells can overlap, can have unequal size, and can be hierarchical. Target-conditioned prototypes can alternatively be generated without an explicit stored cell identifier, for example by weighted conditional prototype learning.</w:t>
      </w:r>
    </w:p>
    <w:p>
      <w:r>
        <w:rPr>
          <w:rFonts w:ascii="Times New Roman" w:hAnsi="Times New Roman"/>
          <w:b w:val="0"/>
          <w:i w:val="0"/>
          <w:color w:val="000000"/>
          <w:sz w:val="24"/>
        </w:rPr>
        <w:t>[0027] A “prototype” includes a centroid, medoid, exemplar, codebook vector, ball, hypersphere, mixture component, density component, decision region, neural unit, adaptive-resonance category, graph node, or other representative of observations in representation space. A prototype may be point-valued or may have a radius, covariance, metric, density, membership function, or learned scoring function.</w:t>
      </w:r>
    </w:p>
    <w:p>
      <w:r>
        <w:rPr>
          <w:rFonts w:ascii="Times New Roman" w:hAnsi="Times New Roman"/>
          <w:b w:val="0"/>
          <w:i w:val="0"/>
          <w:color w:val="000000"/>
          <w:sz w:val="24"/>
        </w:rPr>
        <w:t>[0028] An “own prototype” is a prototype associated with an observation under a target-conditioned assignment rule. A “competing prototype” is another prototype that matches the observation or own prototype under a feature-space compatibility rule. A competing prototype need not belong to a different target cell unless the embodiment expressly imposes that restriction.</w:t>
      </w:r>
    </w:p>
    <w:p>
      <w:r>
        <w:rPr>
          <w:rFonts w:ascii="Times New Roman" w:hAnsi="Times New Roman"/>
          <w:b w:val="0"/>
          <w:i w:val="0"/>
          <w:color w:val="000000"/>
          <w:sz w:val="24"/>
        </w:rPr>
        <w:t>[0029] A “target measure” includes an empirical probability measure, weighted sample set, histogram, quantile sketch, kernel density estimate, parametric distribution, moment collection, mixture model, support set, or other representation of target values associated with a prototype. Retaining a sample-based empirical measure can preserve multimodality and heteroscedasticity that would be lost by storing only a mean.</w:t>
      </w:r>
    </w:p>
    <w:p>
      <w:r>
        <w:rPr>
          <w:rFonts w:ascii="Times New Roman" w:hAnsi="Times New Roman"/>
          <w:b w:val="0"/>
          <w:i w:val="0"/>
          <w:color w:val="000000"/>
          <w:sz w:val="24"/>
        </w:rPr>
        <w:t>[0030] “Adjacency” includes a directed or undirected weighted relationship arising from prototype competition, sample-level confusion, nearest-neighbor structure, kernel affinity, overlap of prototype support, shared observations, mutual reachability, graph construction, or another feature-space proximity rule. “Disagreement” includes a distance, divergence, discrepancy, cost, or loss between target measures.</w:t>
      </w:r>
    </w:p>
    <w:p>
      <w:r>
        <w:rPr>
          <w:rFonts w:ascii="Times New Roman" w:hAnsi="Times New Roman"/>
          <w:b w:val="0"/>
          <w:i w:val="0"/>
          <w:color w:val="000000"/>
          <w:sz w:val="24"/>
        </w:rPr>
        <w:t>[0031] The term “comprising” is inclusive and does not exclude additional elements or acts. Singular terms include plural instances where context permits. Numeric ranges include their endpoints and subranges. Software may be stored on one or more non-transitory computer-readable media and executed by one or more processors.</w:t>
      </w:r>
    </w:p>
    <w:p>
      <w:pPr>
        <w:pStyle w:val="Heading2"/>
        <w:keepNext/>
      </w:pPr>
      <w:r>
        <w:t>II. System Architecture</w:t>
      </w:r>
    </w:p>
    <w:p>
      <w:r>
        <w:rPr>
          <w:rFonts w:ascii="Times New Roman" w:hAnsi="Times New Roman"/>
          <w:b w:val="0"/>
          <w:i w:val="0"/>
          <w:color w:val="000000"/>
          <w:sz w:val="24"/>
        </w:rPr>
        <w:t>[0032] Referring to FIG. 1, a continuous-target overlap evaluation system 100 can include a data store or input interface 102, a representation generator 104, a target-space partition engine 106, a prototype generator 108, an adjacency generator 110, a target-measure profiler 112, a disagreement-loss engine 114, a reference calibrator 116, and an output or action engine 118. The components can be implemented as software modules, hardware accelerators, services, containers, processes, or combinations thereof.</w:t>
      </w:r>
    </w:p>
    <w:p>
      <w:r>
        <w:rPr>
          <w:rFonts w:ascii="Times New Roman" w:hAnsi="Times New Roman"/>
          <w:b w:val="0"/>
          <w:i w:val="0"/>
          <w:color w:val="000000"/>
          <w:sz w:val="24"/>
        </w:rPr>
        <w:t>[0033] The system 100 may execute on one computing device or on multiple networked devices. A computing device can include one or more general-purpose processors, graphics processors, tensor processors, digital signal processors, field-programmable gate arrays, application-specific integrated circuits, memory devices, storage devices, communication interfaces, and user interfaces. The data store 102 can include a database, object store, file system, stream, message queue, memory buffer, or remote data service.</w:t>
      </w:r>
    </w:p>
    <w:p>
      <w:r>
        <w:rPr>
          <w:rFonts w:ascii="Times New Roman" w:hAnsi="Times New Roman"/>
          <w:b w:val="0"/>
          <w:i w:val="0"/>
          <w:color w:val="000000"/>
          <w:sz w:val="24"/>
        </w:rPr>
        <w:t>[0034] The representation generator 104 can receive raw observations and produce representation vectors 105. In another embodiment, vectors 105 are received from an external model and the representation generator 104 is omitted. Candidate representations can correspond to different encoder architectures, checkpoints, layers, dimensionalities, preprocessing pipelines, random seeds, training objectives, sensor subsets, or feature-selection states.</w:t>
      </w:r>
    </w:p>
    <w:p>
      <w:r>
        <w:rPr>
          <w:rFonts w:ascii="Times New Roman" w:hAnsi="Times New Roman"/>
          <w:b w:val="0"/>
          <w:i w:val="0"/>
          <w:color w:val="000000"/>
          <w:sz w:val="24"/>
        </w:rPr>
        <w:t>[0035] The engines 106-116 can operate on a complete dataset, mini-batches, windows, partitions, or distributed shards. Intermediate data can include sparse matrices, prototype identifiers, target-cell identifiers, target sketches, adjacency lists, and permutation seeds. Chunked prototype scoring can bound working memory without changing the conceptual score.</w:t>
      </w:r>
    </w:p>
    <w:p>
      <w:r>
        <w:rPr>
          <w:rFonts w:ascii="Times New Roman" w:hAnsi="Times New Roman"/>
          <w:b w:val="0"/>
          <w:i w:val="0"/>
          <w:color w:val="000000"/>
          <w:sz w:val="24"/>
        </w:rPr>
        <w:t>[0036] The action engine 118 can store or display an index, rank candidate representations, select a model, adjust a training hyperparameter, generate an alert, stop or continue training, acquire an additional feature, route observations for review, schedule retraining, prevent deployment, or cause another machine-learning operation. Thus, the output can change operation of a computer-implemented learning pipeline rather than merely presenting an abstract mathematical result.</w:t>
      </w:r>
    </w:p>
    <w:p>
      <w:pPr>
        <w:pStyle w:val="Heading2"/>
        <w:keepNext/>
      </w:pPr>
      <w:r>
        <w:t>III. Inputs and Target Processing</w:t>
      </w:r>
    </w:p>
    <w:p>
      <w:r>
        <w:rPr>
          <w:rFonts w:ascii="Times New Roman" w:hAnsi="Times New Roman"/>
          <w:b w:val="0"/>
          <w:i w:val="0"/>
          <w:color w:val="000000"/>
          <w:sz w:val="24"/>
        </w:rPr>
        <w:t>[0037] Let a dataset contain N paired records {(x_i, y_i)} for i from 1 through N. A representation z_i = f(x_i) may be generated, where f can be learned without use of y_i, learned with other targets, or specified. The target y_i may belong to R^d or another target space supplied with a discrepancy. Sample weights u_i may express confidence, exposure, duration, class balance, censoring, or sampling design.</w:t>
      </w:r>
    </w:p>
    <w:p>
      <w:r>
        <w:rPr>
          <w:rFonts w:ascii="Times New Roman" w:hAnsi="Times New Roman"/>
          <w:b w:val="0"/>
          <w:i w:val="0"/>
          <w:color w:val="000000"/>
          <w:sz w:val="24"/>
        </w:rPr>
        <w:t>[0038] Target values may be transformed before analysis. Exemplary transformations include standardization, robust centering and scaling, min-max scaling, monotone transformations, whitening, unit conversion, angular unwrapping, log transformation, rank transformation, and domain-specific normalization. A scale having zero or near-zero magnitude may be replaced with a nonzero fallback to avoid division by zero. The transformation and inverse transformation may be retained as diagnostics.</w:t>
      </w:r>
    </w:p>
    <w:p>
      <w:r>
        <w:rPr>
          <w:rFonts w:ascii="Times New Roman" w:hAnsi="Times New Roman"/>
          <w:b w:val="0"/>
          <w:i w:val="0"/>
          <w:color w:val="000000"/>
          <w:sz w:val="24"/>
        </w:rPr>
        <w:t>[0039] The target-space partition engine 106 forms R target-conditioned regions. For a univariate target, regions may be quantile intervals, equal-width intervals, adaptive intervals, density regions, tree leaves, or overlapping basis functions. Quantile regions can provide approximately balanced support. For a multivariate target, regions may be generated by K-means, medoids, Gaussian mixtures, spectral clustering, hierarchical clustering, vector quantization, grids, trees, topological covers, density clustering, or learned partitioning.</w:t>
      </w:r>
    </w:p>
    <w:p>
      <w:r>
        <w:rPr>
          <w:rFonts w:ascii="Times New Roman" w:hAnsi="Times New Roman"/>
          <w:b w:val="0"/>
          <w:i w:val="0"/>
          <w:color w:val="000000"/>
          <w:sz w:val="24"/>
        </w:rPr>
        <w:t>[0040] The region count R may be fixed, selected by cross-validation, based on a function of N or d, optimized for minimum support, or selected jointly with a prototype count. In an illustrative automatic rule, R is the lesser of N and sixty-four and is at least eight when N permits, with an intermediate value based on the square root of N. Other lower bounds, upper bounds, and growth rules can be used.</w:t>
      </w:r>
    </w:p>
    <w:p>
      <w:r>
        <w:rPr>
          <w:rFonts w:ascii="Times New Roman" w:hAnsi="Times New Roman"/>
          <w:b w:val="0"/>
          <w:i w:val="0"/>
          <w:color w:val="000000"/>
          <w:sz w:val="24"/>
        </w:rPr>
        <w:t>[0041] Hard membership assigns each target to one region c_i. Soft membership assigns weights h_ir across two or more regions. A hierarchical embodiment evaluates overlap at multiple target resolutions. An ensemble embodiment averages or otherwise combines indices from multiple target covers to reduce sensitivity to one partition. A no-explicit-bin embodiment uses target kernels or local target neighborhoods as continuously weighted conditioning sets.</w:t>
      </w:r>
    </w:p>
    <w:p>
      <w:r>
        <w:rPr>
          <w:rFonts w:ascii="Times New Roman" w:hAnsi="Times New Roman"/>
          <w:b w:val="0"/>
          <w:i w:val="0"/>
          <w:color w:val="000000"/>
          <w:sz w:val="24"/>
        </w:rPr>
        <w:t>[0042] Targets may be scalar or multivariate. For cyclic targets such as phase or time of day, cells and distances can respect wraparound. For trajectories or functions, cells can be formed from basis coefficients or learned target embeddings. For censored, interval-valued, or uncertain targets, the target measure can incorporate likelihood weights, admissible intervals, posterior samples, or multiple imputation.</w:t>
      </w:r>
    </w:p>
    <w:p>
      <w:pPr>
        <w:pStyle w:val="Heading2"/>
        <w:keepNext/>
      </w:pPr>
      <w:r>
        <w:t>IV. Target-Conditioned Prototype Construction</w:t>
      </w:r>
    </w:p>
    <w:p>
      <w:r>
        <w:rPr>
          <w:rFonts w:ascii="Times New Roman" w:hAnsi="Times New Roman"/>
          <w:b w:val="0"/>
          <w:i w:val="0"/>
          <w:color w:val="000000"/>
          <w:sz w:val="24"/>
        </w:rPr>
        <w:t>[0043] The prototype generator 108 creates one or more representation-space prototypes associated with each target-conditioned region. In a hard-membership embodiment, a clustering or covering process is applied separately to the representation vectors whose targets fall in each region. The resulting region-owned prototypes are assigned global identifiers while retaining a mapping from region to prototype identifiers.</w:t>
      </w:r>
    </w:p>
    <w:p>
      <w:r>
        <w:rPr>
          <w:rFonts w:ascii="Times New Roman" w:hAnsi="Times New Roman"/>
          <w:b w:val="0"/>
          <w:i w:val="0"/>
          <w:color w:val="000000"/>
          <w:sz w:val="24"/>
        </w:rPr>
        <w:t>[0044] A centroid embodiment uses K-means or mini-batch K-means. A covering embodiment greedily selects ball centers until points are covered by a selected radius or until a selected number of balls is reached. Other embodiments use medoids, exemplars, mixtures, density peaks, self-organizing maps, neural codebooks, product quantizers, adaptive resonance categories, hyperspheres, random partitions, locality-sensitive hashes, trees, or learned prototype networks.</w:t>
      </w:r>
    </w:p>
    <w:p>
      <w:r>
        <w:rPr>
          <w:rFonts w:ascii="Times New Roman" w:hAnsi="Times New Roman"/>
          <w:b w:val="0"/>
          <w:i w:val="0"/>
          <w:color w:val="000000"/>
          <w:sz w:val="24"/>
        </w:rPr>
        <w:t>[0045] The number, radius, covariance, or complexity of prototypes can be uniform across target regions or region-specific. It may be selected based on region support, representation variance, a radius constraint, memory budget, latency target, or validation stability. Multiple prototypes per target region allow representation-space geometry within a target range to be resolved. A single prototype per region may be used but can be too coarse to reveal overlap in some datasets.</w:t>
      </w:r>
    </w:p>
    <w:p>
      <w:r>
        <w:rPr>
          <w:rFonts w:ascii="Times New Roman" w:hAnsi="Times New Roman"/>
          <w:b w:val="0"/>
          <w:i w:val="0"/>
          <w:color w:val="000000"/>
          <w:sz w:val="24"/>
        </w:rPr>
        <w:t>[0046] For each observation i, an own prototype p_i is selected among prototypes associated with the observation's target region, for example by greatest activation or smallest distance. For soft target membership, an observation can contribute to multiple own prototypes with membership weights. Prototype assignment can be hard or probabilistic.</w:t>
      </w:r>
    </w:p>
    <w:p>
      <w:r>
        <w:rPr>
          <w:rFonts w:ascii="Times New Roman" w:hAnsi="Times New Roman"/>
          <w:b w:val="0"/>
          <w:i w:val="0"/>
          <w:color w:val="000000"/>
          <w:sz w:val="24"/>
        </w:rPr>
        <w:t>[0047] Each prototype p receives a support n_p and a target measure μ_p derived from targets of observations assigned to p. In a sample-based embodiment, μ_p is a weighted empirical measure containing the actual associated target values. Other embodiments store quantiles, histograms, sketches, moments, mixtures, kernels, support points, or privacy-preserving summaries. Raw and scaled target measures can both be retained.</w:t>
      </w:r>
    </w:p>
    <w:p>
      <w:r>
        <w:rPr>
          <w:rFonts w:ascii="Times New Roman" w:hAnsi="Times New Roman"/>
          <w:b w:val="0"/>
          <w:i w:val="0"/>
          <w:color w:val="000000"/>
          <w:sz w:val="24"/>
        </w:rPr>
        <w:t>[0048] Prototype diagnostics may include target mean, covariance, radius, credible interval, support, region identity, representation center, representation radius, and sample identifiers. These diagnostics can be used to localize ambiguity, identify sparse regions, and explain a global score.</w:t>
      </w:r>
    </w:p>
    <w:p>
      <w:pPr>
        <w:pStyle w:val="Heading2"/>
        <w:keepNext/>
      </w:pPr>
      <w:r>
        <w:t>V. Prototype Competition and Adjacency</w:t>
      </w:r>
    </w:p>
    <w:p>
      <w:r>
        <w:rPr>
          <w:rFonts w:ascii="Times New Roman" w:hAnsi="Times New Roman"/>
          <w:b w:val="0"/>
          <w:i w:val="0"/>
          <w:color w:val="000000"/>
          <w:sz w:val="24"/>
        </w:rPr>
        <w:t>[0049] Referring to FIG. 4, the adjacency generator 110 constructs a graph 400 having prototypes as nodes. For each observation, the system evaluates a feature-space match score S(z_i,p) for prototypes other than the own prototype p_i. A higher score may indicate a better match, or a distance may be sign-reversed or otherwise transformed. Candidate competitors may include all prototypes, prototypes in other target regions, prototypes within a radius, approximate nearest prototypes, or prototypes selected by an index.</w:t>
      </w:r>
    </w:p>
    <w:p>
      <w:r>
        <w:rPr>
          <w:rFonts w:ascii="Times New Roman" w:hAnsi="Times New Roman"/>
          <w:b w:val="0"/>
          <w:i w:val="0"/>
          <w:color w:val="000000"/>
          <w:sz w:val="24"/>
        </w:rPr>
        <w:t>[0050] In a hard-competition embodiment, the best non-own prototype q_i receives one unit of competitor mass for the directed edge (p_i,q_i). In a soft top-K embodiment, up to K non-own prototypes receive mass. One exemplary sample-level weight is:</w:t>
      </w:r>
    </w:p>
    <w:p>
      <w:pPr>
        <w:pStyle w:val="Equation"/>
        <w:keepLines/>
      </w:pPr>
      <w:r>
        <w:rPr>
          <w:rFonts w:ascii="Cambria Math" w:hAnsi="Cambria Math"/>
          <w:b w:val="0"/>
          <w:i w:val="0"/>
          <w:color w:val="000000"/>
          <w:sz w:val="24"/>
        </w:rPr>
        <w:t>aᵢq = exp((S(zᵢ,q) − maxᵣ S(zᵢ,r))/τ) / Σᵣ exp((S(zᵢ,r) − maxₛ S(zᵢ,s))/τ)</w:t>
      </w:r>
    </w:p>
    <w:p>
      <w:r>
        <w:rPr>
          <w:rFonts w:ascii="Times New Roman" w:hAnsi="Times New Roman"/>
          <w:b w:val="0"/>
          <w:i w:val="0"/>
          <w:color w:val="000000"/>
          <w:sz w:val="24"/>
        </w:rPr>
        <w:t>[0051] where τ is a positive temperature and the sums range over selected competitors. Lower temperature concentrates mass on the strongest competitor; higher temperature spreads mass more evenly. Other monotone kernels, ranks, learned attention weights, inverse distances, binary thresholds, or fuzzy memberships can be used.</w:t>
      </w:r>
    </w:p>
    <w:p>
      <w:r>
        <w:rPr>
          <w:rFonts w:ascii="Times New Roman" w:hAnsi="Times New Roman"/>
          <w:b w:val="0"/>
          <w:i w:val="0"/>
          <w:color w:val="000000"/>
          <w:sz w:val="24"/>
        </w:rPr>
        <w:t>[0052] Sample-level mass is accumulated as A_pq = Σ_i u_i a_iq over observations having own prototype p. Outgoing weights can be normalized as α_pq = A_pq / Σ_r A_pr. In other embodiments, incoming normalization, symmetric normalization, doubly stochastic normalization, global normalization, no normalization, or graph-Laplacian normalization is used. Edge counts and normalized edge weights may both be retained.</w:t>
      </w:r>
    </w:p>
    <w:p>
      <w:r>
        <w:rPr>
          <w:rFonts w:ascii="Times New Roman" w:hAnsi="Times New Roman"/>
          <w:b w:val="0"/>
          <w:i w:val="0"/>
          <w:color w:val="000000"/>
          <w:sz w:val="24"/>
        </w:rPr>
        <w:t>[0053] Adjacency can alternatively be generated directly between prototype geometries rather than through observations. For example, a K-nearest-prototype graph, Delaunay graph, radius graph, ball-intersection graph, mutual-neighbor graph, transport plan, or kernel graph may be used. Sample-mediated competition has the advantage of emphasizing confusions occurring where data are actually observed.</w:t>
      </w:r>
    </w:p>
    <w:p>
      <w:r>
        <w:rPr>
          <w:rFonts w:ascii="Times New Roman" w:hAnsi="Times New Roman"/>
          <w:b w:val="0"/>
          <w:i w:val="0"/>
          <w:color w:val="000000"/>
          <w:sz w:val="24"/>
        </w:rPr>
        <w:t>[0054] The graph may be directed because prototype q can compete for samples owned by p more frequently than p competes for samples owned by q. A symmetric embodiment replaces reciprocal weights by a mean, maximum, minimum, sum, or learned combination. Self-edges may be omitted or used to represent within-prototype target dispersion.</w:t>
      </w:r>
    </w:p>
    <w:p>
      <w:pPr>
        <w:pStyle w:val="Heading2"/>
        <w:keepNext/>
      </w:pPr>
      <w:r>
        <w:t>VI. Target-Distribution Disagreement</w:t>
      </w:r>
    </w:p>
    <w:p>
      <w:r>
        <w:rPr>
          <w:rFonts w:ascii="Times New Roman" w:hAnsi="Times New Roman"/>
          <w:b w:val="0"/>
          <w:i w:val="0"/>
          <w:color w:val="000000"/>
          <w:sz w:val="24"/>
        </w:rPr>
        <w:t>[0055] The target-measure profiler 112 and disagreement-loss engine 114 determine whether adjacent or competing prototypes carry compatible target distributions. For a univariate target, one embodiment uses the first Wasserstein distance between empirical measures. For multivariate targets, one embodiment projects targets along multiple unit directions, computes a one-dimensional Wasserstein distance for each direction, and averages the distances to obtain a sliced-Wasserstein discrepancy.</w:t>
      </w:r>
    </w:p>
    <w:p>
      <w:r>
        <w:rPr>
          <w:rFonts w:ascii="Times New Roman" w:hAnsi="Times New Roman"/>
          <w:b w:val="0"/>
          <w:i w:val="0"/>
          <w:color w:val="000000"/>
          <w:sz w:val="24"/>
        </w:rPr>
        <w:t>[0056] Other usable discrepancies include a p-Wasserstein distance, entropically regularized transport or Sinkhorn divergence, energy distance, maximum mean discrepancy, Cramér distance, Kolmogorov-Smirnov statistic, Jensen-Shannon divergence, smoothed Kullback-Leibler divergence, Hellinger distance, total variation, earth mover cost, quantile distance, moment distance, covariance distance, angular distance, geodesic distance, task-specific cost, or a learned target-measure discriminator. The discrepancy can incorporate uncertainty and sample weights.</w:t>
      </w:r>
    </w:p>
    <w:p>
      <w:r>
        <w:rPr>
          <w:rFonts w:ascii="Times New Roman" w:hAnsi="Times New Roman"/>
          <w:b w:val="0"/>
          <w:i w:val="0"/>
          <w:color w:val="000000"/>
          <w:sz w:val="24"/>
        </w:rPr>
        <w:t>[0057] For each source prototype p, a local disagreement loss can be computed as:</w:t>
      </w:r>
    </w:p>
    <w:p>
      <w:pPr>
        <w:pStyle w:val="Equation"/>
        <w:keepLines/>
      </w:pPr>
      <w:r>
        <w:rPr>
          <w:rFonts w:ascii="Cambria Math" w:hAnsi="Cambria Math"/>
          <w:b w:val="0"/>
          <w:i w:val="0"/>
          <w:color w:val="000000"/>
          <w:sz w:val="24"/>
        </w:rPr>
        <w:t>Lₚ = Σq αpq D(μₚ, μq)</w:t>
      </w:r>
    </w:p>
    <w:p>
      <w:r>
        <w:rPr>
          <w:rFonts w:ascii="Times New Roman" w:hAnsi="Times New Roman"/>
          <w:b w:val="0"/>
          <w:i w:val="0"/>
          <w:color w:val="000000"/>
          <w:sz w:val="24"/>
        </w:rPr>
        <w:t>[0058] where D is a target-measure discrepancy and α_pq is an adjacency weight. A support-weighted observed loss can be computed as:</w:t>
      </w:r>
    </w:p>
    <w:p>
      <w:pPr>
        <w:pStyle w:val="Equation"/>
        <w:keepLines/>
      </w:pPr>
      <w:r>
        <w:rPr>
          <w:rFonts w:ascii="Cambria Math" w:hAnsi="Cambria Math"/>
          <w:b w:val="0"/>
          <w:i w:val="0"/>
          <w:color w:val="000000"/>
          <w:sz w:val="24"/>
        </w:rPr>
        <w:t>Lobs = Σp wp Lp,      wp = np / Σr nr</w:t>
      </w:r>
    </w:p>
    <w:p>
      <w:r>
        <w:rPr>
          <w:rFonts w:ascii="Times New Roman" w:hAnsi="Times New Roman"/>
          <w:b w:val="0"/>
          <w:i w:val="0"/>
          <w:color w:val="000000"/>
          <w:sz w:val="24"/>
        </w:rPr>
        <w:t>[0059] A macro loss can instead give each prototype, target region, target interval, or observation equal weight. Other aggregations include trimmed means, medians, quantiles, worst-region values, generalized means, risk-sensitive objectives, fairness-weighted objectives, or user-specified weights. A minimum-support rule can omit or flag unreliable local losses.</w:t>
      </w:r>
    </w:p>
    <w:p>
      <w:r>
        <w:rPr>
          <w:rFonts w:ascii="Times New Roman" w:hAnsi="Times New Roman"/>
          <w:b w:val="0"/>
          <w:i w:val="0"/>
          <w:color w:val="000000"/>
          <w:sz w:val="24"/>
        </w:rPr>
        <w:t>[0060] A low observed loss indicates that prototypes which compete in representation space carry similar target measures, even if the target varies continuously across the entire dataset. A high observed loss indicates that representation-space neighborhoods confound incompatible target distributions. Thus, the method evaluates local target compatibility rather than merely maximizing categorical separation.</w:t>
      </w:r>
    </w:p>
    <w:p>
      <w:r>
        <w:rPr>
          <w:rFonts w:ascii="Times New Roman" w:hAnsi="Times New Roman"/>
          <w:b w:val="0"/>
          <w:i w:val="0"/>
          <w:color w:val="000000"/>
          <w:sz w:val="24"/>
        </w:rPr>
        <w:t>[0061] Prototype-specific, edge-specific, region-specific, and sample-specific losses may be returned. An explanation interface can identify the edges contributing most to loss, show target distributions at their endpoints, and retrieve corresponding observations. Such diagnostics support data repair and representation redesign.</w:t>
      </w:r>
    </w:p>
    <w:p>
      <w:pPr>
        <w:pStyle w:val="Heading2"/>
        <w:keepNext/>
      </w:pPr>
      <w:r>
        <w:t>VII. Reference Calibration</w:t>
      </w:r>
    </w:p>
    <w:p>
      <w:r>
        <w:rPr>
          <w:rFonts w:ascii="Times New Roman" w:hAnsi="Times New Roman"/>
          <w:b w:val="0"/>
          <w:i w:val="0"/>
          <w:color w:val="000000"/>
          <w:sz w:val="24"/>
        </w:rPr>
        <w:t>[0062] The reference calibrator 116 estimates a level of target disagreement expected under an altered relationship between the representations and targets. In a permutation embodiment, target rows are randomly permuted relative to representation rows. The operation preserves the marginal target distribution while disrupting the observed association. Multiple independent or reproducibly seeded permutations produce reference losses L_1 through L_B.</w:t>
      </w:r>
    </w:p>
    <w:p>
      <w:r>
        <w:rPr>
          <w:rFonts w:ascii="Times New Roman" w:hAnsi="Times New Roman"/>
          <w:b w:val="0"/>
          <w:i w:val="0"/>
          <w:color w:val="000000"/>
          <w:sz w:val="24"/>
        </w:rPr>
        <w:t>[0063] In a refit-permutation embodiment, each permuted dataset is processed through target-region construction, prototype fitting, own-prototype assignment, target-measure profiling, adjacency construction, and loss aggregation. Refit permutation permits the null geometry and target conditioning to respond to each randomized association. It provides a strong chance-calibration semantics at increased computational cost.</w:t>
      </w:r>
    </w:p>
    <w:p>
      <w:r>
        <w:rPr>
          <w:rFonts w:ascii="Times New Roman" w:hAnsi="Times New Roman"/>
          <w:b w:val="0"/>
          <w:i w:val="0"/>
          <w:color w:val="000000"/>
          <w:sz w:val="24"/>
        </w:rPr>
        <w:t>[0064] In a fixed-structure permutation embodiment, the target values are reassigned across previously determined observation-to-prototype rows while some or all prototype geometry and adjacency are held fixed. This avoids repeated prototype fitting and can substantially reduce computation for large datasets. It is an approximate calibration because the fitted geometry was produced using the unpermuted target conditioning.</w:t>
      </w:r>
    </w:p>
    <w:p>
      <w:r>
        <w:rPr>
          <w:rFonts w:ascii="Times New Roman" w:hAnsi="Times New Roman"/>
          <w:b w:val="0"/>
          <w:i w:val="0"/>
          <w:color w:val="000000"/>
          <w:sz w:val="24"/>
        </w:rPr>
        <w:t>[0065] An automatic mode can choose between full refit and fixed structure using a work estimate such as N multiplied by B, available processing time, memory, energy, or a user-specified accuracy requirement. A hybrid embodiment refits only a subset of permutations, cells, prototypes, or candidate representations. Results may report which null mode was used.</w:t>
      </w:r>
    </w:p>
    <w:p>
      <w:r>
        <w:rPr>
          <w:rFonts w:ascii="Times New Roman" w:hAnsi="Times New Roman"/>
          <w:b w:val="0"/>
          <w:i w:val="0"/>
          <w:color w:val="000000"/>
          <w:sz w:val="24"/>
        </w:rPr>
        <w:t>[0066] When observations are temporally, spatially, hierarchically, or repeatedly structured, an unrestricted permutation may be replaced by block permutation, circular shift, within-group permutation, conditional randomization, residual permutation, knockoff generation, or another alteration that preserves selected nuisance structure. A reference may also be obtained from independent target draws, simulated targets, cross-dataset matching, bootstrap resampling, analytical approximations, or a trained null model.</w:t>
      </w:r>
    </w:p>
    <w:p>
      <w:r>
        <w:rPr>
          <w:rFonts w:ascii="Times New Roman" w:hAnsi="Times New Roman"/>
          <w:b w:val="0"/>
          <w:i w:val="0"/>
          <w:color w:val="000000"/>
          <w:sz w:val="24"/>
        </w:rPr>
        <w:t>[0067] The reference loss L_ref can be the arithmetic mean, geometric mean, median, trimmed mean, quantile, posterior expectation, or robust estimate of the reference losses. Uncertainty intervals and an empirical p-value can accompany the index. Reference seeds, samples, and configuration can be stored for reproducibility.</w:t>
      </w:r>
    </w:p>
    <w:p>
      <w:pPr>
        <w:pStyle w:val="Heading2"/>
        <w:keepNext/>
      </w:pPr>
      <w:r>
        <w:t>VIII. Index Formation and Interpretation</w:t>
      </w:r>
    </w:p>
    <w:p>
      <w:r>
        <w:rPr>
          <w:rFonts w:ascii="Times New Roman" w:hAnsi="Times New Roman"/>
          <w:b w:val="0"/>
          <w:i w:val="0"/>
          <w:color w:val="000000"/>
          <w:sz w:val="24"/>
        </w:rPr>
        <w:t>[0068] In one embodiment, the continuous-target overlap index I is:</w:t>
      </w:r>
    </w:p>
    <w:p>
      <w:pPr>
        <w:pStyle w:val="Equation"/>
        <w:keepLines/>
      </w:pPr>
      <w:r>
        <w:rPr>
          <w:rFonts w:ascii="Cambria Math" w:hAnsi="Cambria Math"/>
          <w:b w:val="0"/>
          <w:i w:val="0"/>
          <w:color w:val="000000"/>
          <w:sz w:val="24"/>
        </w:rPr>
        <w:t>I = clip(1 − Lobs / Lref, 0, 1)</w:t>
      </w:r>
    </w:p>
    <w:p>
      <w:r>
        <w:rPr>
          <w:rFonts w:ascii="Times New Roman" w:hAnsi="Times New Roman"/>
          <w:b w:val="0"/>
          <w:i w:val="0"/>
          <w:color w:val="000000"/>
          <w:sz w:val="24"/>
        </w:rPr>
        <w:t>[0069] where clip(v,0,1) bounds v between zero and one. If L_ref is effectively zero, I may be set to one when L_obs is also effectively zero and otherwise set to zero. The unbounded or pre-bound loss ratio L_obs/L_ref can be retained. A ratio greater than one indicates worse-than-reference disagreement even though the bounded index remains zero.</w:t>
      </w:r>
    </w:p>
    <w:p>
      <w:r>
        <w:rPr>
          <w:rFonts w:ascii="Times New Roman" w:hAnsi="Times New Roman"/>
          <w:b w:val="0"/>
          <w:i w:val="0"/>
          <w:color w:val="000000"/>
          <w:sz w:val="24"/>
        </w:rPr>
        <w:t>[0070] With this orientation, one indicates no observed harmful continuous-target overlap relative to the selected configuration and reference; an intermediate value indicates partial target-compatible separation or ordering; and zero indicates reference-equivalent or worse overlap. The score is conditional on representation, target cover, prototype resolution, adjacency rule, discrepancy, aggregation, and reference design and therefore should be compared under controlled settings.</w:t>
      </w:r>
    </w:p>
    <w:p>
      <w:r>
        <w:rPr>
          <w:rFonts w:ascii="Times New Roman" w:hAnsi="Times New Roman"/>
          <w:b w:val="0"/>
          <w:i w:val="0"/>
          <w:color w:val="000000"/>
          <w:sz w:val="24"/>
        </w:rPr>
        <w:t>[0071] A prototype index may be formed as I_p = clip(1 − L_p/L_ref,p,0,1), where L_ref,p is global or local. A macro index may average prototype indices. A support-weighted index may use the ratio of support-weighted observed and reference losses. Region-level and target-range-level indices can be generated similarly.</w:t>
      </w:r>
    </w:p>
    <w:p>
      <w:r>
        <w:rPr>
          <w:rFonts w:ascii="Times New Roman" w:hAnsi="Times New Roman"/>
          <w:b w:val="0"/>
          <w:i w:val="0"/>
          <w:color w:val="000000"/>
          <w:sz w:val="24"/>
        </w:rPr>
        <w:t>[0072] Alternative monotone mappings include exp(−L_obs/L_ref), 1/(1+L_obs/L_ref), a reference standardized score, a percentile among null losses, a calibrated probability, or a bounded affine transformation. The index may be reversed so larger values indicate more overlap, provided the output definition is reported. The underlying observed and reference losses can be supplied to prevent ambiguity.</w:t>
      </w:r>
    </w:p>
    <w:p>
      <w:r>
        <w:rPr>
          <w:rFonts w:ascii="Times New Roman" w:hAnsi="Times New Roman"/>
          <w:b w:val="0"/>
          <w:i w:val="0"/>
          <w:color w:val="000000"/>
          <w:sz w:val="24"/>
        </w:rPr>
        <w:t>[0073] The score is not a direct estimate of regression error and does not require fitting a downstream regressor. It characterizes whether local representation-space competition is compatible with empirical target distributions. The score can complement predictive error, mutual information, neighborhood consistency, internal cluster validity, and uncertainty estimates.</w:t>
      </w:r>
    </w:p>
    <w:p>
      <w:pPr>
        <w:pStyle w:val="Heading2"/>
        <w:keepNext/>
      </w:pPr>
      <w:r>
        <w:t>IX. Exemplary Computer-Implemented Procedure</w:t>
      </w:r>
    </w:p>
    <w:p>
      <w:r>
        <w:rPr>
          <w:rFonts w:ascii="Times New Roman" w:hAnsi="Times New Roman"/>
          <w:b w:val="0"/>
          <w:i w:val="0"/>
          <w:color w:val="000000"/>
          <w:sz w:val="24"/>
        </w:rPr>
        <w:t>[0074] FIG. 2 illustrates an exemplary method 200. The method can be expressed by the following pseudocode, in which operations shown sequentially may be vectorized, parallelized, approximated, cached, streamed, or distributed:</w:t>
      </w:r>
    </w:p>
    <w:p>
      <w:pPr>
        <w:pStyle w:val="CodeListing"/>
        <w:keepLines/>
      </w:pPr>
      <w:r>
        <w:rPr>
          <w:rFonts w:ascii="Courier New" w:hAnsi="Courier New"/>
          <w:b w:val="0"/>
          <w:i w:val="0"/>
          <w:color w:val="000000"/>
          <w:sz w:val="18"/>
        </w:rPr>
        <w:t>INPUT: representation matrix Z, continuous targets Y, configuration C</w:t>
        <w:br/>
      </w:r>
      <w:r>
        <w:rPr>
          <w:rFonts w:ascii="Courier New" w:hAnsi="Courier New"/>
          <w:b w:val="0"/>
          <w:i w:val="0"/>
          <w:color w:val="000000"/>
          <w:sz w:val="18"/>
        </w:rPr>
        <w:t>Y_s &lt;- transform_targets(Y, C.target_scaling)</w:t>
        <w:br/>
      </w:r>
      <w:r>
        <w:rPr>
          <w:rFonts w:ascii="Courier New" w:hAnsi="Courier New"/>
          <w:b w:val="0"/>
          <w:i w:val="0"/>
          <w:color w:val="000000"/>
          <w:sz w:val="18"/>
        </w:rPr>
        <w:t>H   &lt;- form_target_regions_or_memberships(Y_s, C.target_cover)</w:t>
        <w:br/>
      </w:r>
      <w:r>
        <w:rPr>
          <w:rFonts w:ascii="Courier New" w:hAnsi="Courier New"/>
          <w:b w:val="0"/>
          <w:i w:val="0"/>
          <w:color w:val="000000"/>
          <w:sz w:val="18"/>
        </w:rPr>
        <w:t>P   &lt;- fit_target_conditioned_prototypes(Z, H, C.prototype_model)</w:t>
        <w:br/>
      </w:r>
      <w:r>
        <w:rPr>
          <w:rFonts w:ascii="Courier New" w:hAnsi="Courier New"/>
          <w:b w:val="0"/>
          <w:i w:val="0"/>
          <w:color w:val="000000"/>
          <w:sz w:val="18"/>
        </w:rPr>
        <w:t>p_i &lt;- assign_own_prototype(Z_i, H_i, P)</w:t>
        <w:br/>
      </w:r>
      <w:r>
        <w:rPr>
          <w:rFonts w:ascii="Courier New" w:hAnsi="Courier New"/>
          <w:b w:val="0"/>
          <w:i w:val="0"/>
          <w:color w:val="000000"/>
          <w:sz w:val="18"/>
        </w:rPr>
        <w:t>mu_p, n_p &lt;- profile_target_measure(Y_s, p_i)</w:t>
        <w:br/>
      </w:r>
      <w:r>
        <w:rPr>
          <w:rFonts w:ascii="Courier New" w:hAnsi="Courier New"/>
          <w:b w:val="0"/>
          <w:i w:val="0"/>
          <w:color w:val="000000"/>
          <w:sz w:val="18"/>
        </w:rPr>
        <w:t>A_pq &lt;- accumulate_feature_space_competition(Z, p_i, P, C.adjacency)</w:t>
        <w:br/>
      </w:r>
      <w:r>
        <w:rPr>
          <w:rFonts w:ascii="Courier New" w:hAnsi="Courier New"/>
          <w:b w:val="0"/>
          <w:i w:val="0"/>
          <w:color w:val="000000"/>
          <w:sz w:val="18"/>
        </w:rPr>
        <w:t>alpha_pq &lt;- normalize_adjacency(A_pq)</w:t>
        <w:br/>
      </w:r>
      <w:r>
        <w:rPr>
          <w:rFonts w:ascii="Courier New" w:hAnsi="Courier New"/>
          <w:b w:val="0"/>
          <w:i w:val="0"/>
          <w:color w:val="000000"/>
          <w:sz w:val="18"/>
        </w:rPr>
        <w:t>L_obs &lt;- aggregate_p (n_p / N) aggregate_q alpha_pq D(mu_p, mu_q)</w:t>
        <w:br/>
      </w:r>
      <w:r>
        <w:rPr>
          <w:rFonts w:ascii="Courier New" w:hAnsi="Courier New"/>
          <w:b w:val="0"/>
          <w:i w:val="0"/>
          <w:color w:val="000000"/>
          <w:sz w:val="18"/>
        </w:rPr>
        <w:t>for b in 1..B:</w:t>
        <w:br/>
      </w:r>
      <w:r>
        <w:rPr>
          <w:rFonts w:ascii="Courier New" w:hAnsi="Courier New"/>
          <w:b w:val="0"/>
          <w:i w:val="0"/>
          <w:color w:val="000000"/>
          <w:sz w:val="18"/>
        </w:rPr>
        <w:t xml:space="preserve">    Y_b &lt;- alter_representation_target_association(Y_s, seed_b)</w:t>
        <w:br/>
      </w:r>
      <w:r>
        <w:rPr>
          <w:rFonts w:ascii="Courier New" w:hAnsi="Courier New"/>
          <w:b w:val="0"/>
          <w:i w:val="0"/>
          <w:color w:val="000000"/>
          <w:sz w:val="18"/>
        </w:rPr>
        <w:t xml:space="preserve">    L_b &lt;- score_null_dataset(Z, Y_b, C.null_mode)</w:t>
        <w:br/>
      </w:r>
      <w:r>
        <w:rPr>
          <w:rFonts w:ascii="Courier New" w:hAnsi="Courier New"/>
          <w:b w:val="0"/>
          <w:i w:val="0"/>
          <w:color w:val="000000"/>
          <w:sz w:val="18"/>
        </w:rPr>
        <w:t>L_ref &lt;- aggregate(L_1, ..., L_B)</w:t>
        <w:br/>
      </w:r>
      <w:r>
        <w:rPr>
          <w:rFonts w:ascii="Courier New" w:hAnsi="Courier New"/>
          <w:b w:val="0"/>
          <w:i w:val="0"/>
          <w:color w:val="000000"/>
          <w:sz w:val="18"/>
        </w:rPr>
        <w:t>I &lt;- bound(1 - L_obs / L_ref, 0, 1)</w:t>
        <w:br/>
      </w:r>
      <w:r>
        <w:rPr>
          <w:rFonts w:ascii="Courier New" w:hAnsi="Courier New"/>
          <w:b w:val="0"/>
          <w:i w:val="0"/>
          <w:color w:val="000000"/>
          <w:sz w:val="18"/>
        </w:rPr>
        <w:t>OUTPUT: I, L_obs, L_ref, local diagnostics, selected action</w:t>
      </w:r>
    </w:p>
    <w:p>
      <w:r>
        <w:rPr>
          <w:rFonts w:ascii="Times New Roman" w:hAnsi="Times New Roman"/>
          <w:b w:val="0"/>
          <w:i w:val="0"/>
          <w:color w:val="000000"/>
          <w:sz w:val="24"/>
        </w:rPr>
        <w:t>[0075] At step 202, observations, representations, and continuous targets are received. At step 204, target-conditioned regions or memberships are formed. At step 206, representation-space prototypes are generated for respective target conditions. At step 208, observations are associated with own prototypes and prototype-specific target measures.</w:t>
      </w:r>
    </w:p>
    <w:p>
      <w:r>
        <w:rPr>
          <w:rFonts w:ascii="Times New Roman" w:hAnsi="Times New Roman"/>
          <w:b w:val="0"/>
          <w:i w:val="0"/>
          <w:color w:val="000000"/>
          <w:sz w:val="24"/>
        </w:rPr>
        <w:t>[0076] At step 210, feature-space competition is evaluated to produce adjacency weights. At step 212, target-measure discrepancies are computed along the adjacency relationships. At step 214, the discrepancies are aggregated into an observed loss. At step 216, one or more altered associations produce a reference loss. At step 218, a bounded index and diagnostics are produced and used to cause a machine-learning action.</w:t>
      </w:r>
    </w:p>
    <w:p>
      <w:r>
        <w:rPr>
          <w:rFonts w:ascii="Times New Roman" w:hAnsi="Times New Roman"/>
          <w:b w:val="0"/>
          <w:i w:val="0"/>
          <w:color w:val="000000"/>
          <w:sz w:val="24"/>
        </w:rPr>
        <w:t>[0077] The process can be repeated for multiple candidate representations using common target partitions, common random seeds, common permutations, or matched computation budgets. Common random numbers can reduce comparison variance. Candidate ranking can use the index alone or a multi-objective criterion incorporating compute, dimensionality, fairness, stability, or downstream performance.</w:t>
      </w:r>
    </w:p>
    <w:p>
      <w:pPr>
        <w:pStyle w:val="Heading2"/>
        <w:keepNext/>
      </w:pPr>
      <w:r>
        <w:t>X. Exemplary Software Realization</w:t>
      </w:r>
    </w:p>
    <w:p>
      <w:r>
        <w:rPr>
          <w:rFonts w:ascii="Times New Roman" w:hAnsi="Times New Roman"/>
          <w:b w:val="0"/>
          <w:i w:val="0"/>
          <w:color w:val="000000"/>
          <w:sz w:val="24"/>
        </w:rPr>
        <w:t>[0078] One nonlimiting Python realization exposes an estimator named ContinuousOverlapIndex. The realization accepts a dense or, for selected backends, sparse feature matrix and a dense numeric one- or multi-column target array. It implements fit, score, predict-prototype, fit-predict, and batch-refit interfaces following estimator conventions.</w:t>
      </w:r>
    </w:p>
    <w:p>
      <w:r>
        <w:rPr>
          <w:rFonts w:ascii="Times New Roman" w:hAnsi="Times New Roman"/>
          <w:b w:val="0"/>
          <w:i w:val="0"/>
          <w:color w:val="000000"/>
          <w:sz w:val="24"/>
        </w:rPr>
        <w:t>[0079] In that realization, univariate targets are automatically divided by quantiles, and multivariate targets are automatically divided by K-means. The automatic number of target cells is min(max(8, floor(sqrt(N))), 64, N), subject to duplicate quantile boundaries. Targets are standardized by default, with no scaling, min-max scaling, and robust interquartile scaling as alternatives.</w:t>
      </w:r>
    </w:p>
    <w:p>
      <w:r>
        <w:rPr>
          <w:rFonts w:ascii="Times New Roman" w:hAnsi="Times New Roman"/>
          <w:b w:val="0"/>
          <w:i w:val="0"/>
          <w:color w:val="000000"/>
          <w:sz w:val="24"/>
        </w:rPr>
        <w:t>[0080] The realization supports K-means, mini-batch K-means, and greedy ball-cover prototype backends. Multiple global prototype identifiers are associated with each target cell. Each observation is assigned to its best-matching prototype restricted to the observation's target cell, and each prototype retains the raw and scaled target samples assigned to it.</w:t>
      </w:r>
    </w:p>
    <w:p>
      <w:r>
        <w:rPr>
          <w:rFonts w:ascii="Times New Roman" w:hAnsi="Times New Roman"/>
          <w:b w:val="0"/>
          <w:i w:val="0"/>
          <w:color w:val="000000"/>
          <w:sz w:val="24"/>
        </w:rPr>
        <w:t>[0081] The default adjacency mode is soft top-K with K equal to five and a temperature-scaled softmax over backend match scores. A strict top-one mode is also supported. Outgoing competitor mass is normalized separately for each source prototype. The realization uses one-dimensional Wasserstein distance for a univariate target and an average of Wasserstein distances over random projections for a multivariate target.</w:t>
      </w:r>
    </w:p>
    <w:p>
      <w:r>
        <w:rPr>
          <w:rFonts w:ascii="Times New Roman" w:hAnsi="Times New Roman"/>
          <w:b w:val="0"/>
          <w:i w:val="0"/>
          <w:color w:val="000000"/>
          <w:sz w:val="24"/>
        </w:rPr>
        <w:t>[0082] The realization estimates a reference loss from repeated target permutations. A refit mode reconstructs target cells, feature prototypes, assignments, and adjacency for every permutation. A fixed-structure mode retains the fitted prototype structure and shuffles target values across assigned rows. An automatic selector uses refit mode below a configurable work threshold and fixed-structure mode at or above the threshold. One illustrative threshold is 100,000 sample-permutation operations, and one illustrative permutation count is twenty.</w:t>
      </w:r>
    </w:p>
    <w:p>
      <w:r>
        <w:rPr>
          <w:rFonts w:ascii="Times New Roman" w:hAnsi="Times New Roman"/>
          <w:b w:val="0"/>
          <w:i w:val="0"/>
          <w:color w:val="000000"/>
          <w:sz w:val="24"/>
        </w:rPr>
        <w:t>[0083] The public index is support-weighted by default, and a macro prototype index is also reported. Diagnostics include observed loss, reference loss, loss ratio, reference-loss samples, resolved null mode, prototype losses, prototype indices, prototype target values, support, target means, target covariances, target radii, adjacency counts, and normalized adjacency weights.</w:t>
      </w:r>
    </w:p>
    <w:p>
      <w:r>
        <w:rPr>
          <w:rFonts w:ascii="Times New Roman" w:hAnsi="Times New Roman"/>
          <w:b w:val="0"/>
          <w:i w:val="0"/>
          <w:color w:val="000000"/>
          <w:sz w:val="24"/>
        </w:rPr>
        <w:t>[0084] The following configuration illustrates use of the realization and does not limit the broader disclosure:</w:t>
      </w:r>
    </w:p>
    <w:p>
      <w:pPr>
        <w:pStyle w:val="CodeListing"/>
        <w:keepLines/>
      </w:pPr>
      <w:r>
        <w:rPr>
          <w:rFonts w:ascii="Courier New" w:hAnsi="Courier New"/>
          <w:b w:val="0"/>
          <w:i w:val="0"/>
          <w:color w:val="000000"/>
          <w:sz w:val="18"/>
        </w:rPr>
        <w:t>coi = ContinuousOverlapIndex(</w:t>
        <w:br/>
      </w:r>
      <w:r>
        <w:rPr>
          <w:rFonts w:ascii="Courier New" w:hAnsi="Courier New"/>
          <w:b w:val="0"/>
          <w:i w:val="0"/>
          <w:color w:val="000000"/>
          <w:sz w:val="18"/>
        </w:rPr>
        <w:t xml:space="preserve">    model_type="MiniBatchKMeans",</w:t>
        <w:br/>
      </w:r>
      <w:r>
        <w:rPr>
          <w:rFonts w:ascii="Courier New" w:hAnsi="Courier New"/>
          <w:b w:val="0"/>
          <w:i w:val="0"/>
          <w:color w:val="000000"/>
          <w:sz w:val="18"/>
        </w:rPr>
        <w:t xml:space="preserve">    kmeans_k=8,</w:t>
        <w:br/>
      </w:r>
      <w:r>
        <w:rPr>
          <w:rFonts w:ascii="Courier New" w:hAnsi="Courier New"/>
          <w:b w:val="0"/>
          <w:i w:val="0"/>
          <w:color w:val="000000"/>
          <w:sz w:val="18"/>
        </w:rPr>
        <w:t xml:space="preserve">    target_cover="auto",</w:t>
        <w:br/>
      </w:r>
      <w:r>
        <w:rPr>
          <w:rFonts w:ascii="Courier New" w:hAnsi="Courier New"/>
          <w:b w:val="0"/>
          <w:i w:val="0"/>
          <w:color w:val="000000"/>
          <w:sz w:val="18"/>
        </w:rPr>
        <w:t xml:space="preserve">    n_target_cells="auto",</w:t>
        <w:br/>
      </w:r>
      <w:r>
        <w:rPr>
          <w:rFonts w:ascii="Courier New" w:hAnsi="Courier New"/>
          <w:b w:val="0"/>
          <w:i w:val="0"/>
          <w:color w:val="000000"/>
          <w:sz w:val="18"/>
        </w:rPr>
        <w:t xml:space="preserve">    target_distance="auto",</w:t>
        <w:br/>
      </w:r>
      <w:r>
        <w:rPr>
          <w:rFonts w:ascii="Courier New" w:hAnsi="Courier New"/>
          <w:b w:val="0"/>
          <w:i w:val="0"/>
          <w:color w:val="000000"/>
          <w:sz w:val="18"/>
        </w:rPr>
        <w:t xml:space="preserve">    adjacency_mode="soft_topk", top_k=5,</w:t>
        <w:br/>
      </w:r>
      <w:r>
        <w:rPr>
          <w:rFonts w:ascii="Courier New" w:hAnsi="Courier New"/>
          <w:b w:val="0"/>
          <w:i w:val="0"/>
          <w:color w:val="000000"/>
          <w:sz w:val="18"/>
        </w:rPr>
        <w:t xml:space="preserve">    feature_temperature=1.0,</w:t>
        <w:br/>
      </w:r>
      <w:r>
        <w:rPr>
          <w:rFonts w:ascii="Courier New" w:hAnsi="Courier New"/>
          <w:b w:val="0"/>
          <w:i w:val="0"/>
          <w:color w:val="000000"/>
          <w:sz w:val="18"/>
        </w:rPr>
        <w:t xml:space="preserve">    null_mode="refit_permutation",</w:t>
        <w:br/>
      </w:r>
      <w:r>
        <w:rPr>
          <w:rFonts w:ascii="Courier New" w:hAnsi="Courier New"/>
          <w:b w:val="0"/>
          <w:i w:val="0"/>
          <w:color w:val="000000"/>
          <w:sz w:val="18"/>
        </w:rPr>
        <w:t xml:space="preserve">    n_null_permutations=20, random_state=0)</w:t>
        <w:br/>
      </w:r>
      <w:r>
        <w:rPr>
          <w:rFonts w:ascii="Courier New" w:hAnsi="Courier New"/>
          <w:b w:val="0"/>
          <w:i w:val="0"/>
          <w:color w:val="000000"/>
          <w:sz w:val="18"/>
        </w:rPr>
        <w:t>score = coi.fit(Z, Y).index</w:t>
      </w:r>
    </w:p>
    <w:p>
      <w:r>
        <w:rPr>
          <w:rFonts w:ascii="Times New Roman" w:hAnsi="Times New Roman"/>
          <w:b w:val="0"/>
          <w:i w:val="0"/>
          <w:color w:val="000000"/>
          <w:sz w:val="24"/>
        </w:rPr>
        <w:t>[0085] The described software is one realization. Equivalent operations may be implemented in another programming language, database engine, statistical system, accelerator, embedded controller, browser, distributed service, or integrated training framework. Parameter names and defaults are not required features unless expressly recited in a later claim.</w:t>
      </w:r>
    </w:p>
    <w:p>
      <w:pPr>
        <w:pStyle w:val="Heading2"/>
        <w:keepNext/>
      </w:pPr>
      <w:r>
        <w:t>XI. Use in Evaluating Unsupervised Representation Learning</w:t>
      </w:r>
    </w:p>
    <w:p>
      <w:r>
        <w:rPr>
          <w:rFonts w:ascii="Times New Roman" w:hAnsi="Times New Roman"/>
          <w:b w:val="0"/>
          <w:i w:val="0"/>
          <w:color w:val="000000"/>
          <w:sz w:val="24"/>
        </w:rPr>
        <w:t>[0086] In a representation-learning workflow, one or more encoders are trained without the continuous evaluation target. A held-out or auxiliary labeled dataset is passed through each encoder. The resulting representations and continuous targets are evaluated under a common overlap-index configuration. The action engine selects a representation having a preferred index, uncertainty interval, local-loss profile, or tradeoff with compute.</w:t>
      </w:r>
    </w:p>
    <w:p>
      <w:r>
        <w:rPr>
          <w:rFonts w:ascii="Times New Roman" w:hAnsi="Times New Roman"/>
          <w:b w:val="0"/>
          <w:i w:val="0"/>
          <w:color w:val="000000"/>
          <w:sz w:val="24"/>
        </w:rPr>
        <w:t>[0087] Candidate representations may be different layers of one network. A layer with a high index can be selected for retrieval or regression because local feature neighborhoods preserve target-compatible structure. The method can also compare checkpoints to stop training when the index stabilizes or declines, even when the self-supervised training objective continues to improve.</w:t>
      </w:r>
    </w:p>
    <w:p>
      <w:r>
        <w:rPr>
          <w:rFonts w:ascii="Times New Roman" w:hAnsi="Times New Roman"/>
          <w:b w:val="0"/>
          <w:i w:val="0"/>
          <w:color w:val="000000"/>
          <w:sz w:val="24"/>
        </w:rPr>
        <w:t>[0088] In another embodiment, the index or a differentiable approximation thereof forms a regularizer or validation objective. High-loss prototype edges identify representation regions to separate, unfold, augment, or resample. Training can increase or decrease weights of observations associated with those edges, alter augmentations, adjust model capacity, or select hard examples.</w:t>
      </w:r>
    </w:p>
    <w:p>
      <w:r>
        <w:rPr>
          <w:rFonts w:ascii="Times New Roman" w:hAnsi="Times New Roman"/>
          <w:b w:val="0"/>
          <w:i w:val="0"/>
          <w:color w:val="000000"/>
          <w:sz w:val="24"/>
        </w:rPr>
        <w:t>[0089] The continuous target need not be the ultimate task label. It may be a known nuisance or safety quantity. A developer can seek a high index when preserving the quantity is desired or, using a reversed objective, seek null-like local compatibility when invariance to the quantity is desired. Multiple targets can produce a score vector or constrained optimization objective.</w:t>
      </w:r>
    </w:p>
    <w:p>
      <w:r>
        <w:rPr>
          <w:rFonts w:ascii="Times New Roman" w:hAnsi="Times New Roman"/>
          <w:b w:val="0"/>
          <w:i w:val="0"/>
          <w:color w:val="000000"/>
          <w:sz w:val="24"/>
        </w:rPr>
        <w:t>[0090] Applications include evaluating image embeddings against age, pose, depth, disease severity, or acquisition time; evaluating audio embeddings against pitch, phase, duration, or physiological rate; evaluating text embeddings against reading level, sentiment intensity, date, or price; and evaluating sensor embeddings against location, temperature, wear, remaining life, or control state.</w:t>
      </w:r>
    </w:p>
    <w:p>
      <w:pPr>
        <w:pStyle w:val="Heading2"/>
        <w:keepNext/>
      </w:pPr>
      <w:r>
        <w:t>XII. Use in Evaluating Regression Problems and Data</w:t>
      </w:r>
    </w:p>
    <w:p>
      <w:r>
        <w:rPr>
          <w:rFonts w:ascii="Times New Roman" w:hAnsi="Times New Roman"/>
          <w:b w:val="0"/>
          <w:i w:val="0"/>
          <w:color w:val="000000"/>
          <w:sz w:val="24"/>
        </w:rPr>
        <w:t>[0091] The method can assess regression-problem difficulty before or alongside model fitting. A low score can indicate that available features place incompatible target distributions in competing local regions, suggesting missing covariates, measurement error, label ambiguity, representation collapse, temporal leakage control, or intrinsic uncertainty. A high score can indicate target-compatible organization, although it does not guarantee a particular predictor's performance.</w:t>
      </w:r>
    </w:p>
    <w:p>
      <w:r>
        <w:rPr>
          <w:rFonts w:ascii="Times New Roman" w:hAnsi="Times New Roman"/>
          <w:b w:val="0"/>
          <w:i w:val="0"/>
          <w:color w:val="000000"/>
          <w:sz w:val="24"/>
        </w:rPr>
        <w:t>[0092] Feature sets can be compared by computing the index before and after adding, removing, transforming, or acquiring features. A system may purchase or activate a sensor only when its index improvement exceeds a threshold. A data collection system may prioritize observations whose own prototypes have high loss, low support, unstable target measures, or influential edges.</w:t>
      </w:r>
    </w:p>
    <w:p>
      <w:r>
        <w:rPr>
          <w:rFonts w:ascii="Times New Roman" w:hAnsi="Times New Roman"/>
          <w:b w:val="0"/>
          <w:i w:val="0"/>
          <w:color w:val="000000"/>
          <w:sz w:val="24"/>
        </w:rPr>
        <w:t>[0093] Local diagnostics can identify target ranges that are poorly represented, heteroscedastic areas, folded manifolds, discontinuities, domain shifts, and groups having different ambiguity. The system may stratify train-test splits, choose nonlinear models, allocate uncertainty, abstain from prediction, or route records to human review based on these diagnostics.</w:t>
      </w:r>
    </w:p>
    <w:p>
      <w:r>
        <w:rPr>
          <w:rFonts w:ascii="Times New Roman" w:hAnsi="Times New Roman"/>
          <w:b w:val="0"/>
          <w:i w:val="0"/>
          <w:color w:val="000000"/>
          <w:sz w:val="24"/>
        </w:rPr>
        <w:t>[0094] A dataset-monitoring service can compute the index over rolling windows. A statistically significant decline can trigger drift investigation or retraining. Reference permutations may respect temporal blocks, sites, users, machines, or other dependence units. Stored prototype measures allow comparison of which neighborhoods changed.</w:t>
      </w:r>
    </w:p>
    <w:p>
      <w:pPr>
        <w:pStyle w:val="Heading2"/>
        <w:keepNext/>
      </w:pPr>
      <w:r>
        <w:t>XIII. Experimental and Illustrative Scenarios</w:t>
      </w:r>
    </w:p>
    <w:p>
      <w:r>
        <w:rPr>
          <w:rFonts w:ascii="Times New Roman" w:hAnsi="Times New Roman"/>
          <w:b w:val="0"/>
          <w:i w:val="0"/>
          <w:color w:val="000000"/>
          <w:sz w:val="24"/>
        </w:rPr>
        <w:t>[0095] Smooth signal recovery. A latent scalar is mapped to a continuous target. Candidate feature representations contain progressively more of the latent signal and less independent noise. Under common target cells, prototype resolution, and permutations, the index generally increases as representation fidelity increases because competing prototypes carry more compatible local target distributions.</w:t>
      </w:r>
    </w:p>
    <w:p>
      <w:r>
        <w:rPr>
          <w:rFonts w:ascii="Times New Roman" w:hAnsi="Times New Roman"/>
          <w:b w:val="0"/>
          <w:i w:val="0"/>
          <w:color w:val="000000"/>
          <w:sz w:val="24"/>
        </w:rPr>
        <w:t>[0096] Folded trajectory. A target varies along a signed latent coordinate, while an initially folded representation retains primarily the square of that coordinate and therefore maps positive and negative target regions together. As a signed coordinate is restored, the manifold unfolds. Target-incompatible adjacency decreases and the index increases.</w:t>
      </w:r>
    </w:p>
    <w:p>
      <w:r>
        <w:rPr>
          <w:rFonts w:ascii="Times New Roman" w:hAnsi="Times New Roman"/>
          <w:b w:val="0"/>
          <w:i w:val="0"/>
          <w:color w:val="000000"/>
          <w:sz w:val="24"/>
        </w:rPr>
        <w:t>[0097] Hidden covariate. A target depends on an observed variable and a second initially hidden continuous covariate. Candidate feature sets progressively reveal the hidden covariate. The index can quantify improvement in target-compatible neighborhood structure without fitting a separate regressor at each recovery level.</w:t>
      </w:r>
    </w:p>
    <w:p>
      <w:r>
        <w:rPr>
          <w:rFonts w:ascii="Times New Roman" w:hAnsi="Times New Roman"/>
          <w:b w:val="0"/>
          <w:i w:val="0"/>
          <w:color w:val="000000"/>
          <w:sz w:val="24"/>
        </w:rPr>
        <w:t>[0098] Heteroscedastic field. A smooth target field contains a region of high target noise. Prototype-specific losses localize the noisy band, and the global score changes as the band narrows or the noise is reduced. Because empirical target measures are retained, increased spread is represented without reducing each prototype to a single mean.</w:t>
      </w:r>
    </w:p>
    <w:p>
      <w:r>
        <w:rPr>
          <w:rFonts w:ascii="Times New Roman" w:hAnsi="Times New Roman"/>
          <w:b w:val="0"/>
          <w:i w:val="0"/>
          <w:color w:val="000000"/>
          <w:sz w:val="24"/>
        </w:rPr>
        <w:t>[0099] Multivariate oscillator. A two-component target represents a point on a noisy cycle. Candidate features mix the cycle with nuisance coordinates. K-means target cells and sliced-Wasserstein target discrepancy evaluate whether feature-space neighborhoods preserve the multivariate phase structure. Domain-specific circular distances may be substituted.</w:t>
      </w:r>
    </w:p>
    <w:p>
      <w:r>
        <w:rPr>
          <w:rFonts w:ascii="Times New Roman" w:hAnsi="Times New Roman"/>
          <w:b w:val="0"/>
          <w:i w:val="0"/>
          <w:color w:val="000000"/>
          <w:sz w:val="24"/>
        </w:rPr>
        <w:t>[0100] Null-like and worse-than-null controls. Random permutation of targets relative to features should produce an index near the reference endpoint under sufficient permutation sampling. An adversarial arrangement that alternates distant target values among nearly identical feature points can produce an observed loss exceeding the reference loss; the bounded index remains zero while the loss ratio reports the worse-than-reference magnitude.</w:t>
      </w:r>
    </w:p>
    <w:p>
      <w:r>
        <w:rPr>
          <w:rFonts w:ascii="Times New Roman" w:hAnsi="Times New Roman"/>
          <w:b w:val="0"/>
          <w:i w:val="0"/>
          <w:color w:val="000000"/>
          <w:sz w:val="24"/>
        </w:rPr>
        <w:t>[0101] These scenarios are not limiting datasets or required benchmarks. They illustrate that the score responds to smoothness, folding, hidden variables, heteroscedasticity, multivariate targets, random association, and adversarial local disagreement.</w:t>
      </w:r>
    </w:p>
    <w:p>
      <w:pPr>
        <w:pStyle w:val="Heading2"/>
        <w:keepNext/>
      </w:pPr>
      <w:r>
        <w:t>XIV. Scaling, Approximation, and Deployment Variants</w:t>
      </w:r>
    </w:p>
    <w:p>
      <w:r>
        <w:rPr>
          <w:rFonts w:ascii="Times New Roman" w:hAnsi="Times New Roman"/>
          <w:b w:val="0"/>
          <w:i w:val="0"/>
          <w:color w:val="000000"/>
          <w:sz w:val="24"/>
        </w:rPr>
        <w:t>[0102] Prototype matching can be computed in row chunks or with approximate-nearest-neighbor indexes. Sparse representation matrices can remain sparse through fitting and scoring when supported by the prototype backend. Target sketches can limit memory for large prototype supports. Random projections can approximate multivariate transport distance.</w:t>
      </w:r>
    </w:p>
    <w:p>
      <w:r>
        <w:rPr>
          <w:rFonts w:ascii="Times New Roman" w:hAnsi="Times New Roman"/>
          <w:b w:val="0"/>
          <w:i w:val="0"/>
          <w:color w:val="000000"/>
          <w:sz w:val="24"/>
        </w:rPr>
        <w:t>[0103] Distributed embodiments partition observations by target cell, prototype, data shard, or permutation. Workers fit local prototypes or accumulate edge mass and target summaries; a coordinator merges global identifiers, normalizes adjacency, calculates discrepancies, and aggregates losses. Reference permutations can be distributed independently.</w:t>
      </w:r>
    </w:p>
    <w:p>
      <w:r>
        <w:rPr>
          <w:rFonts w:ascii="Times New Roman" w:hAnsi="Times New Roman"/>
          <w:b w:val="0"/>
          <w:i w:val="0"/>
          <w:color w:val="000000"/>
          <w:sz w:val="24"/>
        </w:rPr>
        <w:t>[0104] A streaming embodiment updates prototypes, support, target sketches, and adjacency counts over windows or with forgetting factors. A reference reservoir can maintain shuffled or independently paired target samples. Scores can be emitted periodically with confidence intervals. If exact refitting is not available online, periodic offline recalibration can correct approximation drift.</w:t>
      </w:r>
    </w:p>
    <w:p>
      <w:r>
        <w:rPr>
          <w:rFonts w:ascii="Times New Roman" w:hAnsi="Times New Roman"/>
          <w:b w:val="0"/>
          <w:i w:val="0"/>
          <w:color w:val="000000"/>
          <w:sz w:val="24"/>
        </w:rPr>
        <w:t>[0105] A privacy-preserving embodiment stores target sketches, clipped statistics, encrypted aggregates, secure multiparty computations, or differentially private target measures rather than individual targets. Federated sites may return prototype summaries and edge losses without centralizing raw observations.</w:t>
      </w:r>
    </w:p>
    <w:p>
      <w:r>
        <w:rPr>
          <w:rFonts w:ascii="Times New Roman" w:hAnsi="Times New Roman"/>
          <w:b w:val="0"/>
          <w:i w:val="0"/>
          <w:color w:val="000000"/>
          <w:sz w:val="24"/>
        </w:rPr>
        <w:t>[0106] A hardware-accelerated embodiment performs feature matching, top-K selection, random projection, transport computation, or permutation evaluation on a graphics processor, tensor processor, vector processor, or programmable logic device. Cached representation distances or shared permutations can reduce repeated work when comparing candidates.</w:t>
      </w:r>
    </w:p>
    <w:p>
      <w:r>
        <w:rPr>
          <w:rFonts w:ascii="Times New Roman" w:hAnsi="Times New Roman"/>
          <w:b w:val="0"/>
          <w:i w:val="0"/>
          <w:color w:val="000000"/>
          <w:sz w:val="24"/>
        </w:rPr>
        <w:t>[0107] The method can be exposed through a software library, model-evaluation service, monitoring dashboard, training callback, database function, command-line tool, or application programming interface. Configuration and diagnostics may be serialized with a model card, dataset card, checkpoint, or deployment record.</w:t>
      </w:r>
    </w:p>
    <w:p>
      <w:pPr>
        <w:pStyle w:val="Heading2"/>
        <w:keepNext/>
      </w:pPr>
      <w:r>
        <w:t>XV. Additional Alternatives and Combinations</w:t>
      </w:r>
    </w:p>
    <w:p>
      <w:r>
        <w:rPr>
          <w:rFonts w:ascii="Times New Roman" w:hAnsi="Times New Roman"/>
          <w:b w:val="0"/>
          <w:i w:val="0"/>
          <w:color w:val="000000"/>
          <w:sz w:val="24"/>
        </w:rPr>
        <w:t>[0108] The observed disagreement may incorporate within-prototype dispersion in addition to between-prototype edge discrepancy. An edge loss may be divided by feature distance, multiplied by overlap volume, or conditioned on a minimum competitor confidence. Bidirectional edge disagreement can be combined with a consistency penalty.</w:t>
      </w:r>
    </w:p>
    <w:p>
      <w:r>
        <w:rPr>
          <w:rFonts w:ascii="Times New Roman" w:hAnsi="Times New Roman"/>
          <w:b w:val="0"/>
          <w:i w:val="0"/>
          <w:color w:val="000000"/>
          <w:sz w:val="24"/>
        </w:rPr>
        <w:t>[0109] Target measures can be compared conditionally on a protected group, site, domain, time period, or nuisance variable. A fairness embodiment reports the worst group-specific index or constrains differences among group-specific indices. A domain-generalization embodiment prefers representations having stable indices across sites.</w:t>
      </w:r>
    </w:p>
    <w:p>
      <w:r>
        <w:rPr>
          <w:rFonts w:ascii="Times New Roman" w:hAnsi="Times New Roman"/>
          <w:b w:val="0"/>
          <w:i w:val="0"/>
          <w:color w:val="000000"/>
          <w:sz w:val="24"/>
        </w:rPr>
        <w:t>[0110] Cross-fitting can separate samples used to fit prototypes from samples used to construct target measures or adjacency, reducing optimism. Bootstrap or repeated split estimates can quantify uncertainty. Hyperparameters can be selected on one portion of the data and scored on another.</w:t>
      </w:r>
    </w:p>
    <w:p>
      <w:r>
        <w:rPr>
          <w:rFonts w:ascii="Times New Roman" w:hAnsi="Times New Roman"/>
          <w:b w:val="0"/>
          <w:i w:val="0"/>
          <w:color w:val="000000"/>
          <w:sz w:val="24"/>
        </w:rPr>
        <w:t>[0111] For a very high-dimensional target, a target encoder may map targets into a lower-dimensional target representation before cell construction and discrepancy calculation. The target encoder may be fixed, domain-informed, or learned independently. The original target samples may still be retained for explanation.</w:t>
      </w:r>
    </w:p>
    <w:p>
      <w:r>
        <w:rPr>
          <w:rFonts w:ascii="Times New Roman" w:hAnsi="Times New Roman"/>
          <w:b w:val="0"/>
          <w:i w:val="0"/>
          <w:color w:val="000000"/>
          <w:sz w:val="24"/>
        </w:rPr>
        <w:t>[0112] Multiple prototype backends, target covers, distances, or null modes can form an ensemble. The output may be an average, interval, vector, Pareto frontier, consensus rank, or conservative minimum. Stability across configurations may itself be used as a quality criterion.</w:t>
      </w:r>
    </w:p>
    <w:p>
      <w:r>
        <w:rPr>
          <w:rFonts w:ascii="Times New Roman" w:hAnsi="Times New Roman"/>
          <w:b w:val="0"/>
          <w:i w:val="0"/>
          <w:color w:val="000000"/>
          <w:sz w:val="24"/>
        </w:rPr>
        <w:t>[0113] The index may be computed on residual targets after removing a known covariate, thereby measuring conditional target compatibility. Conversely, it may be computed jointly on a primary target and uncertainty or nuisance variables. Conditional permutation can preserve designated relationships while disrupting the relationship under test.</w:t>
      </w:r>
    </w:p>
    <w:p>
      <w:r>
        <w:rPr>
          <w:rFonts w:ascii="Times New Roman" w:hAnsi="Times New Roman"/>
          <w:b w:val="0"/>
          <w:i w:val="0"/>
          <w:color w:val="000000"/>
          <w:sz w:val="24"/>
        </w:rPr>
        <w:t>[0114] The method may operate on pairwise similarities without explicit feature vectors. A prototype can be an exemplar or cluster of observations, and competitors can be selected using the similarity matrix. Graph and sequence representations can use graph kernels, edit distance, dynamic time warping, or learned compatibility.</w:t>
      </w:r>
    </w:p>
    <w:p>
      <w:r>
        <w:rPr>
          <w:rFonts w:ascii="Times New Roman" w:hAnsi="Times New Roman"/>
          <w:b w:val="0"/>
          <w:i w:val="0"/>
          <w:color w:val="000000"/>
          <w:sz w:val="24"/>
        </w:rPr>
        <w:t>[0115] The foregoing alternatives may be combined. For example, a distributed, privacy-preserving implementation may use soft target memberships, medoid prototypes, a mutual-neighbor adjacency graph, maximum mean discrepancy, blocked conditional permutations, and worst-group aggregation while remaining within the disclosed architecture.</w:t>
      </w:r>
    </w:p>
    <w:p>
      <w:pPr>
        <w:pStyle w:val="Heading2"/>
        <w:keepNext/>
      </w:pPr>
      <w:r>
        <w:t>XVI. Enumerated Embodiments Providing Claim Support</w:t>
      </w:r>
    </w:p>
    <w:p>
      <w:r>
        <w:rPr>
          <w:rFonts w:ascii="Times New Roman" w:hAnsi="Times New Roman"/>
          <w:b w:val="0"/>
          <w:i w:val="0"/>
          <w:color w:val="000000"/>
          <w:sz w:val="24"/>
        </w:rPr>
        <w:t>[0116] The following embodiments state combinations contemplated by the disclosure. Each embodiment may be combined with any compatible preceding or following embodiment.</w:t>
      </w:r>
    </w:p>
    <w:p>
      <w:pPr>
        <w:numPr>
          <w:ilvl w:val="0"/>
          <w:numId w:val="42"/>
        </w:numPr>
      </w:pPr>
      <w:r>
        <w:rPr>
          <w:rFonts w:ascii="Times New Roman" w:hAnsi="Times New Roman"/>
          <w:b w:val="0"/>
          <w:i w:val="0"/>
          <w:color w:val="000000"/>
          <w:sz w:val="24"/>
        </w:rPr>
        <w:t>A computer-implemented method comprising receiving representation data for observations and respective continuous targets; generating target-conditioned representation-space prototypes; associating target measures with the prototypes; determining feature-space adjacency among the prototypes; computing target-measure disagreement along the adjacency; estimating a reference disagreement under an altered representation-target association; and outputting an overlap index based on the disagreement and the reference disagreement.</w:t>
      </w:r>
    </w:p>
    <w:p>
      <w:pPr>
        <w:numPr>
          <w:ilvl w:val="0"/>
          <w:numId w:val="42"/>
        </w:numPr>
      </w:pPr>
      <w:r>
        <w:rPr>
          <w:rFonts w:ascii="Times New Roman" w:hAnsi="Times New Roman"/>
          <w:b w:val="0"/>
          <w:i w:val="0"/>
          <w:color w:val="000000"/>
          <w:sz w:val="24"/>
        </w:rPr>
        <w:t>The method of the preceding embodiment, wherein outputting the overlap index causes selection, rejection, modification, training, deployment, or retraining of a machine-learning representation model or regression pipeline.</w:t>
      </w:r>
    </w:p>
    <w:p>
      <w:pPr>
        <w:numPr>
          <w:ilvl w:val="0"/>
          <w:numId w:val="42"/>
        </w:numPr>
      </w:pPr>
      <w:r>
        <w:rPr>
          <w:rFonts w:ascii="Times New Roman" w:hAnsi="Times New Roman"/>
          <w:b w:val="0"/>
          <w:i w:val="0"/>
          <w:color w:val="000000"/>
          <w:sz w:val="24"/>
        </w:rPr>
        <w:t>The method of any preceding embodiment, wherein the representation model was trained without the continuous targets and the continuous targets are used to evaluate the trained representation.</w:t>
      </w:r>
    </w:p>
    <w:p>
      <w:pPr>
        <w:numPr>
          <w:ilvl w:val="0"/>
          <w:numId w:val="42"/>
        </w:numPr>
      </w:pPr>
      <w:r>
        <w:rPr>
          <w:rFonts w:ascii="Times New Roman" w:hAnsi="Times New Roman"/>
          <w:b w:val="0"/>
          <w:i w:val="0"/>
          <w:color w:val="000000"/>
          <w:sz w:val="24"/>
        </w:rPr>
        <w:t>The method of any preceding embodiment, wherein the representation data correspond to respective candidate encoders, layers, checkpoints, feature sets, transformations, or sensor configurations and the method ranks the candidates.</w:t>
      </w:r>
    </w:p>
    <w:p>
      <w:pPr>
        <w:numPr>
          <w:ilvl w:val="0"/>
          <w:numId w:val="42"/>
        </w:numPr>
      </w:pPr>
      <w:r>
        <w:rPr>
          <w:rFonts w:ascii="Times New Roman" w:hAnsi="Times New Roman"/>
          <w:b w:val="0"/>
          <w:i w:val="0"/>
          <w:color w:val="000000"/>
          <w:sz w:val="24"/>
        </w:rPr>
        <w:t>The method of any preceding embodiment, wherein generating prototypes comprises partitioning a univariate target by quantiles or clustering a multivariate target and fitting multiple prototypes to representation vectors associated with each resulting target region.</w:t>
      </w:r>
    </w:p>
    <w:p>
      <w:pPr>
        <w:numPr>
          <w:ilvl w:val="0"/>
          <w:numId w:val="42"/>
        </w:numPr>
      </w:pPr>
      <w:r>
        <w:rPr>
          <w:rFonts w:ascii="Times New Roman" w:hAnsi="Times New Roman"/>
          <w:b w:val="0"/>
          <w:i w:val="0"/>
          <w:color w:val="000000"/>
          <w:sz w:val="24"/>
        </w:rPr>
        <w:t>The method of any preceding embodiment, wherein target-conditioned memberships are overlapping, fuzzy, hierarchical, kernel-weighted, or otherwise nonexclusive.</w:t>
      </w:r>
    </w:p>
    <w:p>
      <w:pPr>
        <w:numPr>
          <w:ilvl w:val="0"/>
          <w:numId w:val="42"/>
        </w:numPr>
      </w:pPr>
      <w:r>
        <w:rPr>
          <w:rFonts w:ascii="Times New Roman" w:hAnsi="Times New Roman"/>
          <w:b w:val="0"/>
          <w:i w:val="0"/>
          <w:color w:val="000000"/>
          <w:sz w:val="24"/>
        </w:rPr>
        <w:t>The method of any preceding embodiment, wherein a prototype comprises a centroid, medoid, exemplar, codebook vector, ball, hypersphere, density component, mixture component, neural unit, adaptive category, or graph node.</w:t>
      </w:r>
    </w:p>
    <w:p>
      <w:pPr>
        <w:numPr>
          <w:ilvl w:val="0"/>
          <w:numId w:val="42"/>
        </w:numPr>
      </w:pPr>
      <w:r>
        <w:rPr>
          <w:rFonts w:ascii="Times New Roman" w:hAnsi="Times New Roman"/>
          <w:b w:val="0"/>
          <w:i w:val="0"/>
          <w:color w:val="000000"/>
          <w:sz w:val="24"/>
        </w:rPr>
        <w:t>The method of any preceding embodiment, wherein each prototype stores a weighted empirical measure including target samples assigned to the prototype.</w:t>
      </w:r>
    </w:p>
    <w:p>
      <w:pPr>
        <w:numPr>
          <w:ilvl w:val="0"/>
          <w:numId w:val="42"/>
        </w:numPr>
      </w:pPr>
      <w:r>
        <w:rPr>
          <w:rFonts w:ascii="Times New Roman" w:hAnsi="Times New Roman"/>
          <w:b w:val="0"/>
          <w:i w:val="0"/>
          <w:color w:val="000000"/>
          <w:sz w:val="24"/>
        </w:rPr>
        <w:t>The method of any preceding embodiment, wherein determining adjacency comprises, for an observation having an own prototype, selecting one or more non-own prototypes according to feature-space match and accumulating competitor mass on an edge from the own prototype to each selected non-own prototype.</w:t>
      </w:r>
    </w:p>
    <w:p>
      <w:pPr>
        <w:numPr>
          <w:ilvl w:val="0"/>
          <w:numId w:val="42"/>
        </w:numPr>
      </w:pPr>
      <w:r>
        <w:rPr>
          <w:rFonts w:ascii="Times New Roman" w:hAnsi="Times New Roman"/>
          <w:b w:val="0"/>
          <w:i w:val="0"/>
          <w:color w:val="000000"/>
          <w:sz w:val="24"/>
        </w:rPr>
        <w:t>The method of any preceding embodiment, wherein the competitor mass is assigned to a single best competitor or is distributed among a top-K set using a temperature-scaled weighting function.</w:t>
      </w:r>
    </w:p>
    <w:p>
      <w:pPr>
        <w:numPr>
          <w:ilvl w:val="0"/>
          <w:numId w:val="42"/>
        </w:numPr>
      </w:pPr>
      <w:r>
        <w:rPr>
          <w:rFonts w:ascii="Times New Roman" w:hAnsi="Times New Roman"/>
          <w:b w:val="0"/>
          <w:i w:val="0"/>
          <w:color w:val="000000"/>
          <w:sz w:val="24"/>
        </w:rPr>
        <w:t>The method of any preceding embodiment, wherein outgoing edge mass from each source prototype is normalized to one.</w:t>
      </w:r>
    </w:p>
    <w:p>
      <w:pPr>
        <w:numPr>
          <w:ilvl w:val="0"/>
          <w:numId w:val="42"/>
        </w:numPr>
      </w:pPr>
      <w:r>
        <w:rPr>
          <w:rFonts w:ascii="Times New Roman" w:hAnsi="Times New Roman"/>
          <w:b w:val="0"/>
          <w:i w:val="0"/>
          <w:color w:val="000000"/>
          <w:sz w:val="24"/>
        </w:rPr>
        <w:t>The method of any preceding embodiment, wherein target-measure disagreement comprises Wasserstein distance for a scalar target or sliced-Wasserstein distance for a multivariate target.</w:t>
      </w:r>
    </w:p>
    <w:p>
      <w:pPr>
        <w:numPr>
          <w:ilvl w:val="0"/>
          <w:numId w:val="42"/>
        </w:numPr>
      </w:pPr>
      <w:r>
        <w:rPr>
          <w:rFonts w:ascii="Times New Roman" w:hAnsi="Times New Roman"/>
          <w:b w:val="0"/>
          <w:i w:val="0"/>
          <w:color w:val="000000"/>
          <w:sz w:val="24"/>
        </w:rPr>
        <w:t>The method of any preceding embodiment, wherein target-measure disagreement comprises an optimal-transport distance, energy distance, maximum mean discrepancy, divergence, moment discrepancy, angular discrepancy, geodesic discrepancy, or learned discrepancy.</w:t>
      </w:r>
    </w:p>
    <w:p>
      <w:pPr>
        <w:numPr>
          <w:ilvl w:val="0"/>
          <w:numId w:val="42"/>
        </w:numPr>
      </w:pPr>
      <w:r>
        <w:rPr>
          <w:rFonts w:ascii="Times New Roman" w:hAnsi="Times New Roman"/>
          <w:b w:val="0"/>
          <w:i w:val="0"/>
          <w:color w:val="000000"/>
          <w:sz w:val="24"/>
        </w:rPr>
        <w:t>The method of any preceding embodiment, wherein an observed disagreement loss is a support-weighted sum of adjacency-weighted target-measure discrepancies.</w:t>
      </w:r>
    </w:p>
    <w:p>
      <w:pPr>
        <w:numPr>
          <w:ilvl w:val="0"/>
          <w:numId w:val="42"/>
        </w:numPr>
      </w:pPr>
      <w:r>
        <w:rPr>
          <w:rFonts w:ascii="Times New Roman" w:hAnsi="Times New Roman"/>
          <w:b w:val="0"/>
          <w:i w:val="0"/>
          <w:color w:val="000000"/>
          <w:sz w:val="24"/>
        </w:rPr>
        <w:t>The method of any preceding embodiment, wherein the reference disagreement is estimated from multiple permutations of target values relative to representation vectors.</w:t>
      </w:r>
    </w:p>
    <w:p>
      <w:pPr>
        <w:numPr>
          <w:ilvl w:val="0"/>
          <w:numId w:val="42"/>
        </w:numPr>
      </w:pPr>
      <w:r>
        <w:rPr>
          <w:rFonts w:ascii="Times New Roman" w:hAnsi="Times New Roman"/>
          <w:b w:val="0"/>
          <w:i w:val="0"/>
          <w:color w:val="000000"/>
          <w:sz w:val="24"/>
        </w:rPr>
        <w:t>The method of any preceding embodiment, wherein target regions, prototypes, assignments, adjacency, and target measures are refitted for each permutation.</w:t>
      </w:r>
    </w:p>
    <w:p>
      <w:pPr>
        <w:numPr>
          <w:ilvl w:val="0"/>
          <w:numId w:val="42"/>
        </w:numPr>
      </w:pPr>
      <w:r>
        <w:rPr>
          <w:rFonts w:ascii="Times New Roman" w:hAnsi="Times New Roman"/>
          <w:b w:val="0"/>
          <w:i w:val="0"/>
          <w:color w:val="000000"/>
          <w:sz w:val="24"/>
        </w:rPr>
        <w:t>The method of any preceding embodiment, wherein prototype geometry or adjacency is retained while target values are permuted across an existing structure.</w:t>
      </w:r>
    </w:p>
    <w:p>
      <w:pPr>
        <w:numPr>
          <w:ilvl w:val="0"/>
          <w:numId w:val="42"/>
        </w:numPr>
      </w:pPr>
      <w:r>
        <w:rPr>
          <w:rFonts w:ascii="Times New Roman" w:hAnsi="Times New Roman"/>
          <w:b w:val="0"/>
          <w:i w:val="0"/>
          <w:color w:val="000000"/>
          <w:sz w:val="24"/>
        </w:rPr>
        <w:t>The method of any preceding embodiment, wherein a refit reference mode or fixed-structure reference mode is selected based on sample count, number of reference replicates, processing budget, memory budget, or accuracy setting.</w:t>
      </w:r>
    </w:p>
    <w:p>
      <w:pPr>
        <w:numPr>
          <w:ilvl w:val="0"/>
          <w:numId w:val="42"/>
        </w:numPr>
      </w:pPr>
      <w:r>
        <w:rPr>
          <w:rFonts w:ascii="Times New Roman" w:hAnsi="Times New Roman"/>
          <w:b w:val="0"/>
          <w:i w:val="0"/>
          <w:color w:val="000000"/>
          <w:sz w:val="24"/>
        </w:rPr>
        <w:t>The method of any preceding embodiment, wherein the altered association is generated by unrestricted permutation, block permutation, conditional permutation, circular shift, residual permutation, resampling, simulation, or independent target draws.</w:t>
      </w:r>
    </w:p>
    <w:p>
      <w:pPr>
        <w:numPr>
          <w:ilvl w:val="0"/>
          <w:numId w:val="42"/>
        </w:numPr>
      </w:pPr>
      <w:r>
        <w:rPr>
          <w:rFonts w:ascii="Times New Roman" w:hAnsi="Times New Roman"/>
          <w:b w:val="0"/>
          <w:i w:val="0"/>
          <w:color w:val="000000"/>
          <w:sz w:val="24"/>
        </w:rPr>
        <w:t>The method of any preceding embodiment, wherein the overlap index is bounded between zero and one and comprises one minus a ratio of observed disagreement loss to reference disagreement loss.</w:t>
      </w:r>
    </w:p>
    <w:p>
      <w:pPr>
        <w:numPr>
          <w:ilvl w:val="0"/>
          <w:numId w:val="42"/>
        </w:numPr>
      </w:pPr>
      <w:r>
        <w:rPr>
          <w:rFonts w:ascii="Times New Roman" w:hAnsi="Times New Roman"/>
          <w:b w:val="0"/>
          <w:i w:val="0"/>
          <w:color w:val="000000"/>
          <w:sz w:val="24"/>
        </w:rPr>
        <w:t>The method of any preceding embodiment, further comprising outputting an unbounded loss ratio and at least one prototype-specific, edge-specific, region-specific, target-range-specific, or observation-specific diagnostic.</w:t>
      </w:r>
    </w:p>
    <w:p>
      <w:pPr>
        <w:numPr>
          <w:ilvl w:val="0"/>
          <w:numId w:val="42"/>
        </w:numPr>
      </w:pPr>
      <w:r>
        <w:rPr>
          <w:rFonts w:ascii="Times New Roman" w:hAnsi="Times New Roman"/>
          <w:b w:val="0"/>
          <w:i w:val="0"/>
          <w:color w:val="000000"/>
          <w:sz w:val="24"/>
        </w:rPr>
        <w:t>The method of any preceding embodiment, further comprising identifying a representation-space neighborhood containing incompatible targets and acquiring a feature, acquiring a label, changing an encoder, changing an augmentation, adjusting a sample weight, or routing an observation for review based on the neighborhood.</w:t>
      </w:r>
    </w:p>
    <w:p>
      <w:pPr>
        <w:numPr>
          <w:ilvl w:val="0"/>
          <w:numId w:val="42"/>
        </w:numPr>
      </w:pPr>
      <w:r>
        <w:rPr>
          <w:rFonts w:ascii="Times New Roman" w:hAnsi="Times New Roman"/>
          <w:b w:val="0"/>
          <w:i w:val="0"/>
          <w:color w:val="000000"/>
          <w:sz w:val="24"/>
        </w:rPr>
        <w:t>The method of any preceding embodiment, further comprising evaluating the overlap index over time and triggering a drift response when the index or a local diagnostic satisfies a threshold.</w:t>
      </w:r>
    </w:p>
    <w:p>
      <w:pPr>
        <w:numPr>
          <w:ilvl w:val="0"/>
          <w:numId w:val="42"/>
        </w:numPr>
      </w:pPr>
      <w:r>
        <w:rPr>
          <w:rFonts w:ascii="Times New Roman" w:hAnsi="Times New Roman"/>
          <w:b w:val="0"/>
          <w:i w:val="0"/>
          <w:color w:val="000000"/>
          <w:sz w:val="24"/>
        </w:rPr>
        <w:t>The method of any preceding embodiment, wherein prototype scoring is chunked, distributed, sparse, approximate, hardware accelerated, privacy preserving, or streaming.</w:t>
      </w:r>
    </w:p>
    <w:p>
      <w:pPr>
        <w:numPr>
          <w:ilvl w:val="0"/>
          <w:numId w:val="42"/>
        </w:numPr>
      </w:pPr>
      <w:r>
        <w:rPr>
          <w:rFonts w:ascii="Times New Roman" w:hAnsi="Times New Roman"/>
          <w:b w:val="0"/>
          <w:i w:val="0"/>
          <w:color w:val="000000"/>
          <w:sz w:val="24"/>
        </w:rPr>
        <w:t>A machine-learning evaluation system comprising one or more processors and memory storing instructions that cause the one or more processors to perform the method of any preceding embodiment.</w:t>
      </w:r>
    </w:p>
    <w:p>
      <w:pPr>
        <w:numPr>
          <w:ilvl w:val="0"/>
          <w:numId w:val="42"/>
        </w:numPr>
      </w:pPr>
      <w:r>
        <w:rPr>
          <w:rFonts w:ascii="Times New Roman" w:hAnsi="Times New Roman"/>
          <w:b w:val="0"/>
          <w:i w:val="0"/>
          <w:color w:val="000000"/>
          <w:sz w:val="24"/>
        </w:rPr>
        <w:t>A non-transitory computer-readable storage medium storing instructions that, when executed by one or more processors, cause performance of the method of any preceding embodiment.</w:t>
      </w:r>
    </w:p>
    <w:p>
      <w:pPr>
        <w:numPr>
          <w:ilvl w:val="0"/>
          <w:numId w:val="42"/>
        </w:numPr>
      </w:pPr>
      <w:r>
        <w:rPr>
          <w:rFonts w:ascii="Times New Roman" w:hAnsi="Times New Roman"/>
          <w:b w:val="0"/>
          <w:i w:val="0"/>
          <w:color w:val="000000"/>
          <w:sz w:val="24"/>
        </w:rPr>
        <w:t>A machine-learning training system comprising an encoder and an evaluation module configured to calculate the overlap index of any preceding embodiment for encoder outputs and to modify or select the encoder based at least partly on the overlap index.</w:t>
      </w:r>
    </w:p>
    <w:p>
      <w:pPr>
        <w:numPr>
          <w:ilvl w:val="0"/>
          <w:numId w:val="42"/>
        </w:numPr>
      </w:pPr>
      <w:r>
        <w:rPr>
          <w:rFonts w:ascii="Times New Roman" w:hAnsi="Times New Roman"/>
          <w:b w:val="0"/>
          <w:i w:val="0"/>
          <w:color w:val="000000"/>
          <w:sz w:val="24"/>
        </w:rPr>
        <w:t>A regression-data evaluation system configured to calculate the overlap index of any preceding embodiment and to output a dataset-difficulty indicator, a feature-acquisition recommendation, an ambiguity map, or an abstention rule.</w:t>
      </w:r>
    </w:p>
    <w:p>
      <w:pPr>
        <w:pStyle w:val="Heading2"/>
        <w:keepNext/>
      </w:pPr>
      <w:r>
        <w:t>XVII. Advantages and Technical Effects</w:t>
      </w:r>
    </w:p>
    <w:p>
      <w:r>
        <w:rPr>
          <w:rFonts w:ascii="Times New Roman" w:hAnsi="Times New Roman"/>
          <w:b w:val="0"/>
          <w:i w:val="0"/>
          <w:color w:val="000000"/>
          <w:sz w:val="24"/>
        </w:rPr>
        <w:t>[0117] The disclosed method preserves more information than a small categorical binning by comparing empirical target measures, and it exposes local structure that can be hidden by a global dependence score. Prototype compression and top-K competition can reduce computation relative to exhaustive pairwise sample comparisons.</w:t>
      </w:r>
    </w:p>
    <w:p>
      <w:r>
        <w:rPr>
          <w:rFonts w:ascii="Times New Roman" w:hAnsi="Times New Roman"/>
          <w:b w:val="0"/>
          <w:i w:val="0"/>
          <w:color w:val="000000"/>
          <w:sz w:val="24"/>
        </w:rPr>
        <w:t>[0118] Reference calibration produces a dimensionless, dataset-conditional output that can be compared across candidate representations under a shared configuration. Refit and fixed-structure modes permit a deliberate tradeoff between null semantics and computational cost. Local prototype and edge diagnostics make the output actionable.</w:t>
      </w:r>
    </w:p>
    <w:p>
      <w:r>
        <w:rPr>
          <w:rFonts w:ascii="Times New Roman" w:hAnsi="Times New Roman"/>
          <w:b w:val="0"/>
          <w:i w:val="0"/>
          <w:color w:val="000000"/>
          <w:sz w:val="24"/>
        </w:rPr>
        <w:t>[0119] By screening representations and datasets before repeatedly training downstream regressors, the method can reduce processor time, accelerator time, energy use, storage of model checkpoints, and engineering effort. By identifying target-incompatible neighborhoods, the method can improve model selection, feature acquisition, monitoring, and safe deployment decisions.</w:t>
      </w:r>
    </w:p>
    <w:p>
      <w:r>
        <w:rPr>
          <w:rFonts w:ascii="Times New Roman" w:hAnsi="Times New Roman"/>
          <w:b w:val="0"/>
          <w:i w:val="0"/>
          <w:color w:val="000000"/>
          <w:sz w:val="24"/>
        </w:rPr>
        <w:t>[0120] No advantage described herein is required in every embodiment, and an embodiment can fall within the disclosure even if it achieves only a subset of the stated effects.</w:t>
      </w:r>
    </w:p>
    <w:p>
      <w:pPr>
        <w:pStyle w:val="Heading2"/>
        <w:keepNext/>
      </w:pPr>
      <w:r>
        <w:t>XVIII. Closing</w:t>
      </w:r>
    </w:p>
    <w:p>
      <w:r>
        <w:rPr>
          <w:rFonts w:ascii="Times New Roman" w:hAnsi="Times New Roman"/>
          <w:b w:val="0"/>
          <w:i w:val="0"/>
          <w:color w:val="000000"/>
          <w:sz w:val="24"/>
        </w:rPr>
        <w:t>[0121] The disclosed examples are provided to enable persons skilled in machine learning, statistical computing, and data systems to make and use the disclosed subject matter without undue experimentation. Routine choices of data structures, numerical solvers, prototype backends, distance approximations, hardware, and software organization may be made according to dataset and deployment constraints.</w:t>
      </w:r>
    </w:p>
    <w:p>
      <w:r>
        <w:rPr>
          <w:rFonts w:ascii="Times New Roman" w:hAnsi="Times New Roman"/>
          <w:b w:val="0"/>
          <w:i w:val="0"/>
          <w:color w:val="000000"/>
          <w:sz w:val="24"/>
        </w:rPr>
        <w:t>[0122] The scope of contemplated subject matter includes all modifications, substitutions, combinations, and equivalents supported by this disclosure. No described feature should be treated as essential unless expressly stated.</w:t>
      </w:r>
    </w:p>
    <w:p>
      <w:r>
        <w:br w:type="page"/>
      </w:r>
    </w:p>
    <w:p>
      <w:pPr>
        <w:pStyle w:val="Heading1"/>
        <w:keepNext/>
      </w:pPr>
      <w:r>
        <w:t>ABSTRACT OF THE DISCLOSURE</w:t>
      </w:r>
    </w:p>
    <w:p>
      <w:r>
        <w:rPr>
          <w:rFonts w:ascii="Times New Roman" w:hAnsi="Times New Roman"/>
          <w:b w:val="0"/>
          <w:i w:val="0"/>
          <w:color w:val="000000"/>
          <w:sz w:val="24"/>
        </w:rPr>
        <w:t>Computer-implemented techniques evaluate compatibility between a machine-learning representation and one or more continuous targets. Target-conditioned regions are formed, and one or more representation-space prototypes are generated for respective regions. Observations are associated with own prototypes, and empirical target measures are retained for the prototypes. Feature-space competition identifies adjacent non-own prototypes and supplies adjacency weights. Target-distribution discrepancies along weighted adjacency relationships are aggregated into an observed disagreement loss. A reference loss is estimated after altering associations between representations and targets, optionally by refitting target regions and prototypes for repeated permutations or by permuting targets over a fixed structure. A bounded overlap index is generated from the observed and reference losses. The index and local prototype or edge diagnostics can select or modify an unsupervised representation, evaluate regression-data difficulty, direct feature or sample acquisition, monitor drift, or control deployment and retraining of a machine-learning system.</w:t>
      </w:r>
    </w:p>
    <w:p>
      <w:r>
        <w:br w:type="page"/>
      </w:r>
    </w:p>
    <w:p>
      <w:pPr>
        <w:pStyle w:val="Heading1"/>
        <w:keepNext/>
      </w:pPr>
      <w:r>
        <w:t>DRAWINGS</w:t>
      </w:r>
    </w:p>
    <w:p>
      <w:r>
        <w:rPr>
          <w:rFonts w:ascii="Times New Roman" w:hAnsi="Times New Roman"/>
          <w:b w:val="0"/>
          <w:i w:val="0"/>
          <w:color w:val="000000"/>
          <w:sz w:val="24"/>
        </w:rPr>
        <w:t>The following drawings form part of this provisional disclosure. Reference numerals correspond to components described in the Detailed Description.</w:t>
      </w:r>
    </w:p>
    <w:p>
      <w:pPr>
        <w:spacing w:before="40" w:after="120"/>
        <w:jc w:val="center"/>
      </w:pPr>
      <w:r>
        <w:drawing>
          <wp:inline xmlns:a="http://schemas.openxmlformats.org/drawingml/2006/main" xmlns:pic="http://schemas.openxmlformats.org/drawingml/2006/picture">
            <wp:extent cx="5669280" cy="661416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5669280" cy="6614160"/>
                    </a:xfrm>
                    <a:prstGeom prst="rect"/>
                  </pic:spPr>
                </pic:pic>
              </a:graphicData>
            </a:graphic>
          </wp:inline>
        </w:drawing>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decimal"/>
      <w:lvlText w:val="%1."/>
      <w:suff w:val="tab"/>
      <w:pPr>
        <w:tabs>
          <w:tab w:val="num" w:pos="720"/>
        </w:tabs>
        <w:ind w:left="720" w:hanging="360"/>
        <w:spacing w:after="120" w:line="36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line="360" w:lineRule="auto"/>
      <w:jc w:val="center"/>
    </w:pPr>
    <w:rPr>
      <w:rFonts w:ascii="Cambria Math" w:hAnsi="Cambria Math"/>
      <w:sz w:val="24"/>
    </w:rPr>
  </w:style>
  <w:style w:type="paragraph" w:customStyle="1" w:styleId="CodeListing">
    <w:name w:val="Code Listing"/>
    <w:pPr>
      <w:keepLines/>
      <w:spacing w:before="60" w:after="120" w:line="360" w:lineRule="auto"/>
      <w:ind w:left="504"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Continuous-Target Overlap Evaluation of Machine-Learning Representations</dc:title>
  <dc:subject>U.S. Provisional Patent Application</dc:subject>
  <dc:creator>Niklas Max Melton</dc:creator>
  <cp:keywords>continuous overlap index; machine learning; representation evaluation</cp:keywords>
  <dc:description/>
  <cp:lastModifiedBy>Niklas Max Melton</cp:lastModifiedBy>
  <cp:revision>1</cp:revision>
  <dcterms:created xsi:type="dcterms:W3CDTF">2013-12-23T23:15:00Z</dcterms:created>
  <dcterms:modified xsi:type="dcterms:W3CDTF">2013-12-23T23:15:00Z</dcterms:modified>
  <cp:category/>
</cp:coreProperties>
</file>