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v1.6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3.21 (Ein Projekt – ein Video: Import beim Anlegen und im Projekt-Editor, „Video importieren", Ersetzen mit Bestätigung, automatische Übernahme ans Listenende; Durchsetzung in der Oberfläche, 9.7.6/9.14.3)</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15.10.2026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pPr>
            <w:pStyle w:val="TOC1"/>
            <w:tabs>
              <w:tab w:val="right" w:pos="9026" w:leader="dot"/>
            </w:tabs>
          </w:pPr>
          <w:r>
            <w:fldChar w:fldCharType="begin" w:dirty="true"/>
            <w:instrText xml:space="preserve">TOC \h \o "1-2"</w:instrText>
            <w:fldChar w:fldCharType="separate"/>
          </w:r>
          <w:hyperlink w:history="1" w:anchor="_Toc1">
            <w:r>
              <w:t xml:space="preserve">1. Zweck und Einordnung</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Architektur-Überblick</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Technologie-Stack (entschieden)</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Datenbestand nach Lebensdauer</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Modellierungs-Entscheidungen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Speicher- und Ordnerkonventionen</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Datenfluss – Prozesse und Speicher</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7.1 Prozess-Katalog</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7.2 Speicher-Katalog</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7.3 Datenfluss-Tabelle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7.4 Die zwei Render-Arten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8. Vorschau-Konzept (UI-Simulation)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9. High-Level-Design (Module &amp; Schnittstellen)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9.1 IPC-Vertrag: Granularität (Variante A) und Konventionen</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9.2 Schnittstelle render-service: Operation renderReel</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9.3 Subsystem auftrags-manager (Auftragsverwaltung) [P6]</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9.4 Schnittstelle media-service [P1]</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9.5 Schnittstellen project-store [D1] und config-store [D3]</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9.6 Schnittstelle export-service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9.7 Modul composer [P3] (Renderer)</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9.8 Modul action-editor [P2] (Renderer)</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9.9 Modul preview-player [P5] (Renderer)</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9.10 Modul template-canvas (Renderer, geteilt)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9.11 Geteilte Datenmodelle: Vorlage und Marke</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9.12 Vorlagen-Verwaltung: vorlagen-store [Main] und vorlagen-editor [Renderer]</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9.13 Undo/Redo (Projekt-Bearbeitung und Vorlagen-Editor)</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9.14 Modul app-shell (Renderer): Aufbau und Navigation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9.15 Marken-Verwaltung: marken-store [Main] und marken-editor [Renderer]</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sz w:val="20"/>
          <w:szCs w:val="20"/>
        </w:rPr>
        <w:t xml:space="preserve">1. Zweck und Einordnung</w:t>
      </w:r>
      <w:bookmarkEnd w:id="1"/>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bookmarkStart w:name="_Toc2" w:id="2"/>
      <w:r>
        <w:rPr>
          <w:rFonts w:ascii="Arial" w:cs="Arial" w:eastAsia="Arial" w:hAnsi="Arial"/>
          <w:sz w:val="20"/>
          <w:szCs w:val="20"/>
        </w:rPr>
        <w:t xml:space="preserve">2. Architektur-Überblick</w:t>
      </w:r>
      <w:bookmarkEnd w:id="2"/>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bookmarkStart w:name="_Toc3" w:id="3"/>
      <w:r>
        <w:rPr>
          <w:rFonts w:ascii="Arial" w:cs="Arial" w:eastAsia="Arial" w:hAnsi="Arial"/>
          <w:sz w:val="20"/>
          <w:szCs w:val="20"/>
        </w:rPr>
        <w:t xml:space="preserve">3. Technologie-Stack (entschieden)</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bookmarkStart w:name="_Toc4" w:id="4"/>
      <w:r>
        <w:rPr>
          <w:rFonts w:ascii="Arial" w:cs="Arial" w:eastAsia="Arial" w:hAnsi="Arial"/>
          <w:sz w:val="20"/>
          <w:szCs w:val="20"/>
        </w:rPr>
        <w:t xml:space="preserve">4. Datenbestand nach Lebensdauer</w:t>
      </w:r>
      <w:bookmarkEnd w:id="4"/>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bookmarkStart w:name="_Toc5" w:id="5"/>
      <w:r>
        <w:rPr>
          <w:rFonts w:ascii="Arial" w:cs="Arial" w:eastAsia="Arial" w:hAnsi="Arial"/>
          <w:sz w:val="20"/>
          <w:szCs w:val="20"/>
        </w:rPr>
        <w:t xml:space="preserve">5. Modellierungs-Entscheidungen</w:t>
      </w:r>
      <w:bookmarkEnd w:id="5"/>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bookmarkStart w:name="_Toc6" w:id="6"/>
      <w:r>
        <w:rPr>
          <w:rFonts w:ascii="Arial" w:cs="Arial" w:eastAsia="Arial" w:hAnsi="Arial"/>
          <w:sz w:val="20"/>
          <w:szCs w:val="20"/>
        </w:rPr>
        <w:t xml:space="preserve">6. Speicher- und Ordnerkonventionen</w:t>
      </w:r>
      <w:bookmarkEnd w:id="6"/>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bookmarkStart w:name="_Toc7" w:id="7"/>
      <w:r>
        <w:rPr>
          <w:rFonts w:ascii="Arial" w:cs="Arial" w:eastAsia="Arial" w:hAnsi="Arial"/>
          <w:sz w:val="20"/>
          <w:szCs w:val="20"/>
        </w:rPr>
        <w:t xml:space="preserve">7. Datenfluss – Prozesse und Speicher</w:t>
      </w:r>
      <w:bookmarkEnd w:id="7"/>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2"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bookmarkStart w:name="_Toc8" w:id="8"/>
      <w:r>
        <w:rPr>
          <w:rFonts w:ascii="Arial" w:cs="Arial" w:eastAsia="Arial" w:hAnsi="Arial"/>
          <w:sz w:val="20"/>
          <w:szCs w:val="20"/>
        </w:rPr>
        <w:t xml:space="preserve">7.1 Prozess-Katalog</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bookmarkStart w:name="_Toc9" w:id="9"/>
      <w:r>
        <w:rPr>
          <w:rFonts w:ascii="Arial" w:cs="Arial" w:eastAsia="Arial" w:hAnsi="Arial"/>
          <w:sz w:val="20"/>
          <w:szCs w:val="20"/>
        </w:rPr>
        <w:t xml:space="preserve">7.2 Speicher-Katalog</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bookmarkStart w:name="_Toc10" w:id="10"/>
      <w:r>
        <w:rPr>
          <w:rFonts w:ascii="Arial" w:cs="Arial" w:eastAsia="Arial" w:hAnsi="Arial"/>
          <w:sz w:val="20"/>
          <w:szCs w:val="20"/>
        </w:rPr>
        <w:t xml:space="preserve">7.3 Datenfluss-Tabelle</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bookmarkStart w:name="_Toc11" w:id="11"/>
      <w:r>
        <w:rPr>
          <w:rFonts w:ascii="Arial" w:cs="Arial" w:eastAsia="Arial" w:hAnsi="Arial"/>
          <w:sz w:val="20"/>
          <w:szCs w:val="20"/>
        </w:rPr>
        <w:t xml:space="preserve">7.4 Die zwei Render-Arten</w:t>
      </w:r>
      <w:bookmarkEnd w:id="11"/>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bookmarkStart w:name="_Toc12" w:id="12"/>
      <w:r>
        <w:rPr>
          <w:rFonts w:ascii="Arial" w:cs="Arial" w:eastAsia="Arial" w:hAnsi="Arial"/>
          <w:sz w:val="20"/>
          <w:szCs w:val="20"/>
        </w:rPr>
        <w:t xml:space="preserve">8. Vorschau-Konzept (UI-Simulation)</w:t>
      </w:r>
      <w:bookmarkEnd w:id="12"/>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bookmarkStart w:name="_Toc13" w:id="13"/>
      <w:r>
        <w:rPr>
          <w:rFonts w:ascii="Arial" w:cs="Arial" w:eastAsia="Arial" w:hAnsi="Arial"/>
          <w:sz w:val="20"/>
          <w:szCs w:val="20"/>
        </w:rPr>
        <w:t xml:space="preserve">9. High-Level-Design (Module &amp; Schnittstellen)</w:t>
      </w:r>
      <w:bookmarkEnd w:id="13"/>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bookmarkStart w:name="_Toc14" w:id="14"/>
      <w:r>
        <w:rPr>
          <w:rFonts w:ascii="Arial" w:cs="Arial" w:eastAsia="Arial" w:hAnsi="Arial"/>
          <w:sz w:val="20"/>
          <w:szCs w:val="20"/>
        </w:rPr>
        <w:t xml:space="preserve">9.1 IPC-Vertrag: Granularität (Variante A) und Konventionen</w:t>
      </w:r>
      <w:bookmarkEnd w:id="14"/>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bookmarkStart w:name="_Toc15" w:id="15"/>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bookmarkEnd w:id="15"/>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bookmarkStart w:name="_Toc16" w:id="16"/>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bookmarkEnd w:id="16"/>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bookmarkStart w:name="_Toc17" w:id="17"/>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bookmarkEnd w:id="17"/>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bookmarkStart w:name="_Toc18" w:id="18"/>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bookmarkEnd w:id="18"/>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spacing w:after="120"/>
      </w:pPr>
      <w:r>
        <w:rPr>
          <w:rFonts w:ascii="Arial" w:cs="Arial" w:eastAsia="Arial" w:hAnsi="Arial"/>
          <w:b/>
          <w:bCs/>
          <w:sz w:val="20"/>
          <w:szCs w:val="20"/>
        </w:rPr>
        <w:t xml:space="preserve">Rückgabe </w:t>
      </w:r>
      <w:r>
        <w:rPr>
          <w:rFonts w:ascii="Consolas" w:cs="Consolas" w:eastAsia="Consolas" w:hAnsi="Consolas"/>
          <w:b/>
          <w:bCs/>
          <w:sz w:val="19"/>
          <w:szCs w:val="19"/>
          <w:shd w:fill="F5F5F3" w:val="clear"/>
        </w:rPr>
        <w:t xml:space="preserve">StartBefund</w:t>
      </w:r>
      <w:r>
        <w:rPr>
          <w:rFonts w:ascii="Arial" w:cs="Arial" w:eastAsia="Arial" w:hAnsi="Arial"/>
          <w:b/>
          <w:bCs/>
          <w:sz w:val="20"/>
          <w:szCs w:val="20"/>
        </w:rPr>
        <w:t xml:space="preserve"> mit DREI Zuständen (entschieden v3.20, gebaut in #51):</w:t>
      </w:r>
      <w:r>
        <w:rPr>
          <w:rFonts w:ascii="Arial" w:cs="Arial" w:eastAsia="Arial" w:hAnsi="Arial"/>
          <w:sz w:val="20"/>
          <w:szCs w:val="20"/>
        </w:rPr>
        <w:t xml:space="preserve"> </w:t>
      </w:r>
      <w:r>
        <w:rPr>
          <w:rFonts w:ascii="Consolas" w:cs="Consolas" w:eastAsia="Consolas" w:hAnsi="Consolas"/>
          <w:sz w:val="19"/>
          <w:szCs w:val="19"/>
          <w:shd w:fill="F5F5F3" w:val="clear"/>
        </w:rPr>
        <w:t xml:space="preserve">erzwingeEinzelInstanz(datenOrt, beiZweitemStart)</w:t>
      </w:r>
      <w:r>
        <w:rPr>
          <w:rFonts w:ascii="Arial" w:cs="Arial" w:eastAsia="Arial" w:hAnsi="Arial"/>
          <w:sz w:val="20"/>
          <w:szCs w:val="20"/>
        </w:rPr>
        <w:t xml:space="preserve"> liefert </w:t>
      </w:r>
      <w:r>
        <w:rPr>
          <w:rFonts w:ascii="Consolas" w:cs="Consolas" w:eastAsia="Consolas" w:hAnsi="Consolas"/>
          <w:sz w:val="19"/>
          <w:szCs w:val="19"/>
          <w:shd w:fill="F5F5F3" w:val="clear"/>
        </w:rPr>
        <w:t xml:space="preserve">'frei' | 'belegt' | 'datenort_nicht_beschreibbar'</w:t>
      </w:r>
      <w:r>
        <w:rPr>
          <w:rFonts w:ascii="Arial" w:cs="Arial" w:eastAsia="Arial" w:hAnsi="Arial"/>
          <w:sz w:val="20"/>
          <w:szCs w:val="20"/>
        </w:rPr>
        <w:t xml:space="preserve"> – kein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w:t>
      </w:r>
      <w:r>
        <w:rPr>
          <w:rFonts w:ascii="Arial" w:cs="Arial" w:eastAsia="Arial" w:hAnsi="Arial"/>
          <w:i/>
          <w:iCs/>
          <w:sz w:val="20"/>
          <w:szCs w:val="20"/>
        </w:rPr>
        <w:t xml:space="preserve">Warum drei:</w:t>
      </w:r>
      <w:r>
        <w:rPr>
          <w:rFonts w:ascii="Arial" w:cs="Arial" w:eastAsia="Arial" w:hAnsi="Arial"/>
          <w:sz w:val="20"/>
          <w:szCs w:val="20"/>
        </w:rPr>
        <w:t xml:space="preserve"> „Nicht gesperrt" hat zwei grundverschiedene Ursachen – eine zweite Instanz hält die Sperre (</w:t>
      </w:r>
      <w:r>
        <w:rPr>
          <w:rFonts w:ascii="Consolas" w:cs="Consolas" w:eastAsia="Consolas" w:hAnsi="Consolas"/>
          <w:sz w:val="19"/>
          <w:szCs w:val="19"/>
          <w:shd w:fill="F5F5F3" w:val="clear"/>
        </w:rPr>
        <w:t xml:space="preserve">belegt</w:t>
      </w:r>
      <w:r>
        <w:rPr>
          <w:rFonts w:ascii="Arial" w:cs="Arial" w:eastAsia="Arial" w:hAnsi="Arial"/>
          <w:sz w:val="20"/>
          <w:szCs w:val="20"/>
        </w:rPr>
        <w:t xml:space="preserve">, dann fokussiert </w:t>
      </w:r>
      <w:r>
        <w:rPr>
          <w:rFonts w:ascii="Consolas" w:cs="Consolas" w:eastAsia="Consolas" w:hAnsi="Consolas"/>
          <w:sz w:val="19"/>
          <w:szCs w:val="19"/>
          <w:shd w:fill="F5F5F3" w:val="clear"/>
        </w:rPr>
        <w:t xml:space="preserve">beiZweitemStart</w:t>
      </w:r>
      <w:r>
        <w:rPr>
          <w:rFonts w:ascii="Arial" w:cs="Arial" w:eastAsia="Arial" w:hAnsi="Arial"/>
          <w:sz w:val="20"/>
          <w:szCs w:val="20"/>
        </w:rPr>
        <w:t xml:space="preserve"> das bestehende Fenster und dieser Start endet), oder der Datenort ist gar nicht beschreibbar (</w:t>
      </w:r>
      <w:r>
        <w:rPr>
          <w:rFonts w:ascii="Consolas" w:cs="Consolas" w:eastAsia="Consolas" w:hAnsi="Consolas"/>
          <w:sz w:val="19"/>
          <w:szCs w:val="19"/>
          <w:shd w:fill="F5F5F3" w:val="clear"/>
        </w:rPr>
        <w:t xml:space="preserve">datenort_nicht_beschreibbar</w:t>
      </w:r>
      <w:r>
        <w:rPr>
          <w:rFonts w:ascii="Arial" w:cs="Arial" w:eastAsia="Arial" w:hAnsi="Arial"/>
          <w:sz w:val="20"/>
          <w:szCs w:val="20"/>
        </w:rPr>
        <w:t xml:space="preserve"> – ohne diesen Zustand wäre ein schreibgeschützter/vollerr Stick eine stille Datenfalle: Die App liefe, könnte aber nie speichern). Im dritten Zustand zeigt der Main den Startdialog mit „Erneut versuchen"/„Beenden" und generischem Text (ursachenbezogene Texte erst nach errno-Messung an echten Sticks). 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kann diese Unterscheidung nicht tragen; die frühere Fassung „Rückgabe false" ist überholt.</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bookmarkStart w:name="_Toc19" w:id="19"/>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bookmarkEnd w:id="19"/>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bookmarkStart w:name="_Toc20" w:id="20"/>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bookmarkEnd w:id="20"/>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3"/>
      </w:pPr>
      <w:r>
        <w:rPr>
          <w:rFonts w:ascii="Arial" w:cs="Arial" w:eastAsia="Arial" w:hAnsi="Arial"/>
          <w:sz w:val="20"/>
          <w:szCs w:val="20"/>
        </w:rPr>
        <w:t xml:space="preserve">9.7.6 Ein Projekt – ein Video (v3.21)</w:t>
      </w:r>
    </w:p>
    <w:p>
      <w:pPr>
        <w:spacing w:after="120"/>
      </w:pPr>
      <w:r>
        <w:rPr>
          <w:rFonts w:ascii="Arial" w:cs="Arial" w:eastAsia="Arial" w:hAnsi="Arial"/>
          <w:sz w:val="20"/>
          <w:szCs w:val="20"/>
        </w:rPr>
        <w:t xml:space="preserve">Ein Projekt hat </w:t>
      </w:r>
      <w:r>
        <w:rPr>
          <w:rFonts w:ascii="Arial" w:cs="Arial" w:eastAsia="Arial" w:hAnsi="Arial"/>
          <w:b/>
          <w:bCs/>
          <w:sz w:val="20"/>
          <w:szCs w:val="20"/>
        </w:rPr>
        <w:t xml:space="preserve">genau ein Video</w:t>
      </w:r>
      <w:r>
        <w:rPr>
          <w:rFonts w:ascii="Arial" w:cs="Arial" w:eastAsia="Arial" w:hAnsi="Arial"/>
          <w:sz w:val="20"/>
          <w:szCs w:val="20"/>
        </w:rPr>
        <w:t xml:space="preserve"> (FA-01, 4.9) neben beliebig vielen Aktions-Segmenten. Der composer</w:t>
      </w:r>
    </w:p>
    <w:p>
      <w:pPr>
        <w:spacing w:after="120"/>
      </w:pPr>
      <w:r>
        <w:rPr>
          <w:rFonts w:ascii="Arial" w:cs="Arial" w:eastAsia="Arial" w:hAnsi="Arial"/>
          <w:sz w:val="20"/>
          <w:szCs w:val="20"/>
        </w:rPr>
        <w:t xml:space="preserve">setzt das </w:t>
      </w:r>
      <w:r>
        <w:rPr>
          <w:rFonts w:ascii="Arial" w:cs="Arial" w:eastAsia="Arial" w:hAnsi="Arial"/>
          <w:b/>
          <w:bCs/>
          <w:sz w:val="20"/>
          <w:szCs w:val="20"/>
        </w:rPr>
        <w:t xml:space="preserve">in der Oberfläche</w:t>
      </w:r>
      <w:r>
        <w:rPr>
          <w:rFonts w:ascii="Arial" w:cs="Arial" w:eastAsia="Arial" w:hAnsi="Arial"/>
          <w:sz w:val="20"/>
          <w:szCs w:val="20"/>
        </w:rPr>
        <w:t xml:space="preserve"> um:</w:t>
      </w:r>
    </w:p>
    <w:p>
      <w:pPr>
        <w:pStyle w:val="ListParagraph"/>
        <w:numPr>
          <w:ilvl w:val="0"/>
          <w:numId w:val="2"/>
        </w:numPr>
      </w:pPr>
      <w:r>
        <w:rPr>
          <w:rFonts w:ascii="Arial" w:cs="Arial" w:eastAsia="Arial" w:hAnsi="Arial"/>
          <w:b/>
          <w:bCs/>
          <w:sz w:val="20"/>
          <w:szCs w:val="20"/>
        </w:rPr>
        <w:t xml:space="preserve">Der Medien-Bereich heißt „Video" und zeigt das eine Video</w:t>
      </w:r>
      <w:r>
        <w:rPr>
          <w:rFonts w:ascii="Arial" w:cs="Arial" w:eastAsia="Arial" w:hAnsi="Arial"/>
          <w:sz w:val="20"/>
          <w:szCs w:val="20"/>
        </w:rPr>
        <w:t xml:space="preserve"> – Bezeichnung und Dauer, dazu</w:t>
      </w:r>
    </w:p>
    <w:p>
      <w:pPr>
        <w:spacing w:after="120"/>
      </w:pPr>
      <w:r>
        <w:rPr>
          <w:rFonts w:ascii="Arial" w:cs="Arial" w:eastAsia="Arial" w:hAnsi="Arial"/>
          <w:b/>
          <w:bCs/>
          <w:sz w:val="20"/>
          <w:szCs w:val="20"/>
        </w:rPr>
        <w:t xml:space="preserve">„Video importieren"</w:t>
      </w:r>
      <w:r>
        <w:rPr>
          <w:rFonts w:ascii="Arial" w:cs="Arial" w:eastAsia="Arial" w:hAnsi="Arial"/>
          <w:sz w:val="20"/>
          <w:szCs w:val="20"/>
        </w:rPr>
        <w:t xml:space="preserve"> und </w:t>
      </w:r>
      <w:r>
        <w:rPr>
          <w:rFonts w:ascii="Arial" w:cs="Arial" w:eastAsia="Arial" w:hAnsi="Arial"/>
          <w:b/>
          <w:bCs/>
          <w:sz w:val="20"/>
          <w:szCs w:val="20"/>
        </w:rPr>
        <w:t xml:space="preserve">Löschen</w:t>
      </w:r>
      <w:r>
        <w:rPr>
          <w:rFonts w:ascii="Arial" w:cs="Arial" w:eastAsia="Arial" w:hAnsi="Arial"/>
          <w:sz w:val="20"/>
          <w:szCs w:val="20"/>
        </w:rPr>
        <w:t xml:space="preserve">. Das Video steht </w:t>
      </w:r>
      <w:r>
        <w:rPr>
          <w:rFonts w:ascii="Arial" w:cs="Arial" w:eastAsia="Arial" w:hAnsi="Arial"/>
          <w:b/>
          <w:bCs/>
          <w:sz w:val="20"/>
          <w:szCs w:val="20"/>
        </w:rPr>
        <w:t xml:space="preserve">automatisch</w:t>
      </w:r>
      <w:r>
        <w:rPr>
          <w:rFonts w:ascii="Arial" w:cs="Arial" w:eastAsia="Arial" w:hAnsi="Arial"/>
          <w:sz w:val="20"/>
          <w:szCs w:val="20"/>
        </w:rPr>
        <w:t xml:space="preserve"> am Ende der Wiedergabeliste</w:t>
      </w:r>
    </w:p>
    <w:p>
      <w:pPr>
        <w:spacing w:after="120"/>
      </w:pPr>
      <w:r>
        <w:rPr>
          <w:rFonts w:ascii="Arial" w:cs="Arial" w:eastAsia="Arial" w:hAnsi="Arial"/>
          <w:sz w:val="20"/>
          <w:szCs w:val="20"/>
        </w:rPr>
        <w:t xml:space="preserve">(bzw. an der Stelle, an die es gestellt wurde); ein „Zur Liste hinzufügen" entfällt für es, weil es</w:t>
      </w:r>
    </w:p>
    <w:p>
      <w:pPr>
        <w:spacing w:after="120"/>
      </w:pPr>
      <w:r>
        <w:rPr>
          <w:rFonts w:ascii="Arial" w:cs="Arial" w:eastAsia="Arial" w:hAnsi="Arial"/>
          <w:sz w:val="20"/>
          <w:szCs w:val="20"/>
        </w:rPr>
        <w:t xml:space="preserve">bereits Inhalt ist. Der </w:t>
      </w:r>
      <w:r>
        <w:rPr>
          <w:rFonts w:ascii="Arial" w:cs="Arial" w:eastAsia="Arial" w:hAnsi="Arial"/>
          <w:b/>
          <w:bCs/>
          <w:sz w:val="20"/>
          <w:szCs w:val="20"/>
        </w:rPr>
        <w:t xml:space="preserve">Aktions</w:t>
      </w:r>
      <w:r>
        <w:rPr>
          <w:rFonts w:ascii="Arial" w:cs="Arial" w:eastAsia="Arial" w:hAnsi="Arial"/>
          <w:sz w:val="20"/>
          <w:szCs w:val="20"/>
        </w:rPr>
        <w:t xml:space="preserve">-Bereich bleibt unverändert (Aktionen werden weiterhin per Klick</w:t>
      </w:r>
    </w:p>
    <w:p>
      <w:pPr>
        <w:spacing w:after="120"/>
      </w:pPr>
      <w:r>
        <w:rPr>
          <w:rFonts w:ascii="Arial" w:cs="Arial" w:eastAsia="Arial" w:hAnsi="Arial"/>
          <w:sz w:val="20"/>
          <w:szCs w:val="20"/>
        </w:rPr>
        <w:t xml:space="preserve">oder Drag hinzugefügt).</w:t>
      </w:r>
    </w:p>
    <w:p>
      <w:pPr>
        <w:pStyle w:val="ListParagraph"/>
        <w:numPr>
          <w:ilvl w:val="0"/>
          <w:numId w:val="2"/>
        </w:numPr>
      </w:pPr>
      <w:r>
        <w:rPr>
          <w:rFonts w:ascii="Arial" w:cs="Arial" w:eastAsia="Arial" w:hAnsi="Arial"/>
          <w:b/>
          <w:bCs/>
          <w:sz w:val="20"/>
          <w:szCs w:val="20"/>
        </w:rPr>
        <w:t xml:space="preserve">Import ist der Weg ins Projekt.</w:t>
      </w:r>
      <w:r>
        <w:rPr>
          <w:rFonts w:ascii="Arial" w:cs="Arial" w:eastAsia="Arial" w:hAnsi="Arial"/>
          <w:sz w:val="20"/>
          <w:szCs w:val="20"/>
        </w:rPr>
        <w:t xml:space="preserve"> Der Kopf-Knopf heißt </w:t>
      </w:r>
      <w:r>
        <w:rPr>
          <w:rFonts w:ascii="Arial" w:cs="Arial" w:eastAsia="Arial" w:hAnsi="Arial"/>
          <w:b/>
          <w:bCs/>
          <w:sz w:val="20"/>
          <w:szCs w:val="20"/>
        </w:rPr>
        <w:t xml:space="preserve">„Video importieren"</w:t>
      </w:r>
      <w:r>
        <w:rPr>
          <w:rFonts w:ascii="Arial" w:cs="Arial" w:eastAsia="Arial" w:hAnsi="Arial"/>
          <w:sz w:val="20"/>
          <w:szCs w:val="20"/>
        </w:rPr>
        <w:t xml:space="preserve"> (nicht mehr „Medien</w:t>
      </w:r>
    </w:p>
    <w:p>
      <w:pPr>
        <w:spacing w:after="120"/>
      </w:pPr>
      <w:r>
        <w:rPr>
          <w:rFonts w:ascii="Arial" w:cs="Arial" w:eastAsia="Arial" w:hAnsi="Arial"/>
          <w:sz w:val="20"/>
          <w:szCs w:val="20"/>
        </w:rPr>
        <w:t xml:space="preserve">importieren"); er importiert </w:t>
      </w:r>
      <w:r>
        <w:rPr>
          <w:rFonts w:ascii="Arial" w:cs="Arial" w:eastAsia="Arial" w:hAnsi="Arial"/>
          <w:b/>
          <w:bCs/>
          <w:sz w:val="20"/>
          <w:szCs w:val="20"/>
        </w:rPr>
        <w:t xml:space="preserve">genau ein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nurTyp: 'video'</w:t>
      </w:r>
      <w:r>
        <w:rPr>
          <w:rFonts w:ascii="Arial" w:cs="Arial" w:eastAsia="Arial" w:hAnsi="Arial"/>
          <w:sz w:val="20"/>
          <w:szCs w:val="20"/>
        </w:rPr>
        <w:t xml:space="preserve">, #418) und stellt es </w:t>
      </w:r>
      <w:r>
        <w:rPr>
          <w:rFonts w:ascii="Arial" w:cs="Arial" w:eastAsia="Arial" w:hAnsi="Arial"/>
          <w:sz w:val="20"/>
          <w:szCs w:val="20"/>
        </w:rPr>
        <w:t xml:space="preserve"/>
      </w:r>
      <w:r>
        <w:rPr>
          <w:rFonts w:ascii="Arial" w:cs="Arial" w:eastAsia="Arial" w:hAnsi="Arial"/>
          <w:sz w:val="20"/>
          <w:szCs w:val="20"/>
        </w:rPr>
        <w:t xml:space="preserve">ans Ende der</w:t>
      </w:r>
    </w:p>
    <w:p>
      <w:pPr>
        <w:spacing w:after="120"/>
      </w:pPr>
      <w:r>
        <w:rPr>
          <w:rFonts w:ascii="Arial" w:cs="Arial" w:eastAsia="Arial" w:hAnsi="Arial"/>
          <w:sz w:val="20"/>
          <w:szCs w:val="20"/>
        </w:rPr>
        <w:t xml:space="preserve">Wiedergabeliste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Liegt schon ein Video vor, ersetzt der Import es – nach Bestätigung.</w:t>
      </w:r>
      <w:r>
        <w:rPr>
          <w:rFonts w:ascii="Arial" w:cs="Arial" w:eastAsia="Arial" w:hAnsi="Arial"/>
          <w:sz w:val="20"/>
          <w:szCs w:val="20"/>
        </w:rPr>
        <w:t xml:space="preserve"> Der Vorgang hat Dateiwirkung</w:t>
      </w:r>
    </w:p>
    <w:p>
      <w:pPr>
        <w:spacing w:after="120"/>
      </w:pPr>
      <w:r>
        <w:rPr>
          <w:rFonts w:ascii="Arial" w:cs="Arial" w:eastAsia="Arial" w:hAnsi="Arial"/>
          <w:sz w:val="20"/>
          <w:szCs w:val="20"/>
        </w:rPr>
        <w:t xml:space="preserve">und ist </w:t>
      </w:r>
      <w:r>
        <w:rPr>
          <w:rFonts w:ascii="Arial" w:cs="Arial" w:eastAsia="Arial" w:hAnsi="Arial"/>
          <w:b/>
          <w:bCs/>
          <w:sz w:val="20"/>
          <w:szCs w:val="20"/>
        </w:rPr>
        <w:t xml:space="preserve">nicht</w:t>
      </w:r>
      <w:r>
        <w:rPr>
          <w:rFonts w:ascii="Arial" w:cs="Arial" w:eastAsia="Arial" w:hAnsi="Arial"/>
          <w:sz w:val="20"/>
          <w:szCs w:val="20"/>
        </w:rPr>
        <w:t xml:space="preserve"> undo-fähig (9.13.3); deshalb die Rückfrage. Ein bloßes Umschalten zwischen mehreren</w:t>
      </w:r>
    </w:p>
    <w:p>
      <w:pPr>
        <w:spacing w:after="120"/>
      </w:pPr>
      <w:r>
        <w:rPr>
          <w:rFonts w:ascii="Arial" w:cs="Arial" w:eastAsia="Arial" w:hAnsi="Arial"/>
          <w:sz w:val="20"/>
          <w:szCs w:val="20"/>
        </w:rPr>
        <w:t xml:space="preserve">Videos gibt es nicht.</w:t>
      </w:r>
    </w:p>
    <w:p>
      <w:pPr>
        <w:pStyle w:val="ListParagraph"/>
        <w:numPr>
          <w:ilvl w:val="0"/>
          <w:numId w:val="2"/>
        </w:numPr>
      </w:pPr>
      <w:r>
        <w:rPr>
          <w:rFonts w:ascii="Arial" w:cs="Arial" w:eastAsia="Arial" w:hAnsi="Arial"/>
          <w:b/>
          <w:bCs/>
          <w:sz w:val="20"/>
          <w:szCs w:val="20"/>
        </w:rPr>
        <w:t xml:space="preserve">Durchsetzung nur in der Oberfläche (bewusste Grenze, v3.21).</w:t>
      </w:r>
      <w:r>
        <w:rPr>
          <w:rFonts w:ascii="Arial" w:cs="Arial" w:eastAsia="Arial" w:hAnsi="Arial"/>
          <w:sz w:val="20"/>
          <w:szCs w:val="20"/>
        </w:rPr>
        <w:t xml:space="preserve"> Das Datenmodell </w:t>
      </w:r>
      <w:r>
        <w:rPr>
          <w:rFonts w:ascii="Consolas" w:cs="Consolas" w:eastAsia="Consolas" w:hAnsi="Consolas"/>
          <w:sz w:val="19"/>
          <w:szCs w:val="19"/>
          <w:shd w:fill="F5F5F3" w:val="clear"/>
        </w:rPr>
        <w:t xml:space="preserve">project-store</w:t>
      </w:r>
    </w:p>
    <w:p>
      <w:pPr>
        <w:spacing w:after="120"/>
      </w:pPr>
      <w:r>
        <w:rPr>
          <w:rFonts w:ascii="Arial" w:cs="Arial" w:eastAsia="Arial" w:hAnsi="Arial"/>
          <w:sz w:val="20"/>
          <w:szCs w:val="20"/>
        </w:rPr>
        <w:t xml:space="preserve">(9.5.2, 9.11.3) lässt </w:t>
      </w:r>
      <w:r>
        <w:rPr>
          <w:rFonts w:ascii="Arial" w:cs="Arial" w:eastAsia="Arial" w:hAnsi="Arial"/>
          <w:b/>
          <w:bCs/>
          <w:sz w:val="20"/>
          <w:szCs w:val="20"/>
        </w:rPr>
        <w:t xml:space="preserve">technisch weiterhin</w:t>
      </w:r>
      <w:r>
        <w:rPr>
          <w:rFonts w:ascii="Arial" w:cs="Arial" w:eastAsia="Arial" w:hAnsi="Arial"/>
          <w:sz w:val="20"/>
          <w:szCs w:val="20"/>
        </w:rPr>
        <w:t xml:space="preserve"> mehrere Video-Elemente zu; es gibt </w:t>
      </w:r>
      <w:r>
        <w:rPr>
          <w:rFonts w:ascii="Arial" w:cs="Arial" w:eastAsia="Arial" w:hAnsi="Arial"/>
          <w:b/>
          <w:bCs/>
          <w:sz w:val="20"/>
          <w:szCs w:val="20"/>
        </w:rPr>
        <w:t xml:space="preserve">keinen</w:t>
      </w:r>
      <w:r>
        <w:rPr>
          <w:rFonts w:ascii="Arial" w:cs="Arial" w:eastAsia="Arial" w:hAnsi="Arial"/>
          <w:sz w:val="20"/>
          <w:szCs w:val="20"/>
        </w:rPr>
        <w:t xml:space="preserve"> neuen</w:t>
      </w:r>
    </w:p>
    <w:p>
      <w:pPr>
        <w:spacing w:after="120"/>
      </w:pPr>
      <w:r>
        <w:rPr>
          <w:rFonts w:ascii="Arial" w:cs="Arial" w:eastAsia="Arial" w:hAnsi="Arial"/>
          <w:sz w:val="20"/>
          <w:szCs w:val="20"/>
        </w:rPr>
        <w:t xml:space="preserve">Fehlercode und </w:t>
      </w:r>
      <w:r>
        <w:rPr>
          <w:rFonts w:ascii="Arial" w:cs="Arial" w:eastAsia="Arial" w:hAnsi="Arial"/>
          <w:b/>
          <w:bCs/>
          <w:sz w:val="20"/>
          <w:szCs w:val="20"/>
        </w:rPr>
        <w:t xml:space="preserve">keine</w:t>
      </w:r>
      <w:r>
        <w:rPr>
          <w:rFonts w:ascii="Arial" w:cs="Arial" w:eastAsia="Arial" w:hAnsi="Arial"/>
          <w:sz w:val="20"/>
          <w:szCs w:val="20"/>
        </w:rPr>
        <w:t xml:space="preserve"> neue Main-Invariante. Ein zweites Video kann damit heute nur durch einen</w:t>
      </w:r>
    </w:p>
    <w:p>
      <w:pPr>
        <w:spacing w:after="120"/>
      </w:pPr>
      <w:r>
        <w:rPr>
          <w:rFonts w:ascii="Arial" w:cs="Arial" w:eastAsia="Arial" w:hAnsi="Arial"/>
          <w:sz w:val="20"/>
          <w:szCs w:val="20"/>
        </w:rPr>
        <w:t xml:space="preserve">Programmfehler entstehen, nicht durch Bedienung. Bilder sind weiterhin nur </w:t>
      </w:r>
      <w:r>
        <w:rPr>
          <w:rFonts w:ascii="Arial" w:cs="Arial" w:eastAsia="Arial" w:hAnsi="Arial"/>
          <w:b/>
          <w:bCs/>
          <w:sz w:val="20"/>
          <w:szCs w:val="20"/>
        </w:rPr>
        <w:t xml:space="preserve">Motiv einer Aktion</w:t>
      </w:r>
    </w:p>
    <w:p>
      <w:pPr>
        <w:spacing w:after="120"/>
      </w:pPr>
      <w:r>
        <w:rPr>
          <w:rFonts w:ascii="Arial" w:cs="Arial" w:eastAsia="Arial" w:hAnsi="Arial"/>
          <w:sz w:val="20"/>
          <w:szCs w:val="20"/>
        </w:rPr>
        <w:t xml:space="preserve">(action-editor, 9.8) und kein eigenes Listenelement.</w:t>
      </w:r>
    </w:p>
    <w:p>
      <w:pPr>
        <w:pStyle w:val="Heading2"/>
      </w:pPr>
      <w:bookmarkStart w:name="_Toc21" w:id="21"/>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bookmarkEnd w:id="21"/>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bookmarkStart w:name="_Toc22" w:id="22"/>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bookmarkEnd w:id="22"/>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bookmarkStart w:name="_Toc23" w:id="23"/>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bookmarkEnd w:id="23"/>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bookmarkStart w:name="_Toc24" w:id="24"/>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bookmarkEnd w:id="24"/>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bookmarkStart w:name="_Toc25" w:id="25"/>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bookmarkEnd w:id="25"/>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bookmarkStart w:name="_Toc26" w:id="26"/>
      <w:r>
        <w:rPr>
          <w:rFonts w:ascii="Arial" w:cs="Arial" w:eastAsia="Arial" w:hAnsi="Arial"/>
          <w:sz w:val="20"/>
          <w:szCs w:val="20"/>
        </w:rPr>
        <w:t xml:space="preserve">9.13 Undo/Redo (Projekt-Bearbeitung und Vorlagen-Editor)</w:t>
      </w:r>
      <w:bookmarkEnd w:id="26"/>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bookmarkStart w:name="_Toc27" w:id="27"/>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bookmarkEnd w:id="27"/>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Dazu seit v3.21 die Video-Import-Option beim Anlegen.</w:t>
      </w:r>
      <w:r>
        <w:rPr>
          <w:rFonts w:ascii="Arial" w:cs="Arial" w:eastAsia="Arial" w:hAnsi="Arial"/>
          <w:sz w:val="20"/>
          <w:szCs w:val="20"/>
        </w:rPr>
        <w:t xml:space="preserve"> Der Anlege-Dialog führt neben dem Projektnamen</w:t>
      </w:r>
    </w:p>
    <w:p>
      <w:pPr>
        <w:spacing w:after="120"/>
      </w:pPr>
      <w:r>
        <w:rPr>
          <w:rFonts w:ascii="Arial" w:cs="Arial" w:eastAsia="Arial" w:hAnsi="Arial"/>
          <w:sz w:val="20"/>
          <w:szCs w:val="20"/>
        </w:rPr>
        <w:t xml:space="preserve">optional </w:t>
      </w:r>
      <w:r>
        <w:rPr>
          <w:rFonts w:ascii="Arial" w:cs="Arial" w:eastAsia="Arial" w:hAnsi="Arial"/>
          <w:b/>
          <w:bCs/>
          <w:sz w:val="20"/>
          <w:szCs w:val="20"/>
        </w:rPr>
        <w:t xml:space="preserve">„Video importieren"</w:t>
      </w:r>
      <w:r>
        <w:rPr>
          <w:rFonts w:ascii="Arial" w:cs="Arial" w:eastAsia="Arial" w:hAnsi="Arial"/>
          <w:sz w:val="20"/>
          <w:szCs w:val="20"/>
        </w:rPr>
        <w:t xml:space="preserve"> (FA-01, 4.9). Ist ein Video gewählt, legt die App das Projekt an,</w:t>
      </w:r>
    </w:p>
    <w:p>
      <w:pPr>
        <w:spacing w:after="120"/>
      </w:pPr>
      <w:r>
        <w:rPr>
          <w:rFonts w:ascii="Arial" w:cs="Arial" w:eastAsia="Arial" w:hAnsi="Arial"/>
          <w:b/>
          <w:bCs/>
          <w:sz w:val="20"/>
          <w:szCs w:val="20"/>
        </w:rPr>
        <w:t xml:space="preserve">wechselt in den Reiter Zusammenstellen</w:t>
      </w:r>
      <w:r>
        <w:rPr>
          <w:rFonts w:ascii="Arial" w:cs="Arial" w:eastAsia="Arial" w:hAnsi="Arial"/>
          <w:sz w:val="20"/>
          <w:szCs w:val="20"/>
        </w:rPr>
        <w:t xml:space="preserve"> (Invariante unten: Öffnen → Zusammenstellen) und stößt den</w:t>
      </w:r>
    </w:p>
    <w:p>
      <w:pPr>
        <w:spacing w:after="120"/>
      </w:pPr>
      <w:r>
        <w:rPr>
          <w:rFonts w:ascii="Arial" w:cs="Arial" w:eastAsia="Arial" w:hAnsi="Arial"/>
          <w:sz w:val="20"/>
          <w:szCs w:val="20"/>
        </w:rPr>
        <w:t xml:space="preserve">Video-Import an; das Video ist danach </w:t>
      </w:r>
      <w:r>
        <w:rPr>
          <w:rFonts w:ascii="Arial" w:cs="Arial" w:eastAsia="Arial" w:hAnsi="Arial"/>
          <w:b/>
          <w:bCs/>
          <w:sz w:val="20"/>
          <w:szCs w:val="20"/>
        </w:rPr>
        <w:t xml:space="preserve">bereits am Ende der Wiedergabeliste</w:t>
      </w:r>
      <w:r>
        <w:rPr>
          <w:rFonts w:ascii="Arial" w:cs="Arial" w:eastAsia="Arial" w:hAnsi="Arial"/>
          <w:sz w:val="20"/>
          <w:szCs w:val="20"/>
        </w:rPr>
        <w:t xml:space="preserve">. Der Import nutzt denselben</w:t>
      </w:r>
    </w:p>
    <w:p>
      <w:pPr>
        <w:spacing w:after="120"/>
      </w:pPr>
      <w:r>
        <w:rPr>
          <w:rFonts w:ascii="Arial" w:cs="Arial" w:eastAsia="Arial" w:hAnsi="Arial"/>
          <w:sz w:val="20"/>
          <w:szCs w:val="20"/>
        </w:rPr>
        <w:t xml:space="preserve">Weg wie der Composer-Knopf (media-service 9.4, composer 9.7.6) – die Projektverwaltung baut </w:t>
      </w:r>
      <w:r>
        <w:rPr>
          <w:rFonts w:ascii="Arial" w:cs="Arial" w:eastAsia="Arial" w:hAnsi="Arial"/>
          <w:b/>
          <w:bCs/>
          <w:sz w:val="20"/>
          <w:szCs w:val="20"/>
        </w:rPr>
        <w:t xml:space="preserve">keinen</w:t>
      </w:r>
    </w:p>
    <w:p>
      <w:pPr>
        <w:spacing w:after="120"/>
      </w:pPr>
      <w:r>
        <w:rPr>
          <w:rFonts w:ascii="Arial" w:cs="Arial" w:eastAsia="Arial" w:hAnsi="Arial"/>
          <w:sz w:val="20"/>
          <w:szCs w:val="20"/>
        </w:rPr>
        <w:t xml:space="preserve">zweiten Importpfad. </w:t>
      </w:r>
      <w:r>
        <w:rPr>
          <w:rFonts w:ascii="Arial" w:cs="Arial" w:eastAsia="Arial" w:hAnsi="Arial"/>
          <w:i/>
          <w:iCs/>
          <w:sz w:val="20"/>
          <w:szCs w:val="20"/>
        </w:rPr>
        <w:t xml:space="preserve">Warum hier:</w:t>
      </w:r>
      <w:r>
        <w:rPr>
          <w:rFonts w:ascii="Arial" w:cs="Arial" w:eastAsia="Arial" w:hAnsi="Arial"/>
          <w:sz w:val="20"/>
          <w:szCs w:val="20"/>
        </w:rPr>
        <w:t xml:space="preserve"> Der häufigste erste Schritt – „neues Projekt mit meinem Video" – soll</w:t>
      </w:r>
    </w:p>
    <w:p>
      <w:pPr>
        <w:spacing w:after="120"/>
      </w:pPr>
      <w:r>
        <w:rPr>
          <w:rFonts w:ascii="Arial" w:cs="Arial" w:eastAsia="Arial" w:hAnsi="Arial"/>
          <w:sz w:val="20"/>
          <w:szCs w:val="20"/>
        </w:rPr>
        <w:t xml:space="preserve">ohne Reiterwechsel und ohne einen zweiten Bedienschritt gelingen.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bookmarkStart w:name="_Toc28" w:id="28"/>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bookmarkEnd w:id="28"/>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v3.20 (23.08.2026), vom Auftraggeber entschieden:</w:t>
      </w:r>
      <w:r>
        <w:rPr>
          <w:rFonts w:ascii="Arial" w:cs="Arial" w:eastAsia="Arial" w:hAnsi="Arial"/>
          <w:sz w:val="20"/>
          <w:szCs w:val="20"/>
        </w:rPr>
        <w:t xml:space="preserve"> Die Einzel-Instanz-Sperre liefert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statt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(9.5.4, oben ausgeschrieben; gebaut in #51, Nachtrag in #3).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2026-10-15T12:12:55.225Z</dcterms:created>
  <dcterms:modified xsi:type="dcterms:W3CDTF">2026-10-15T12:12:55.226Z</dcterms:modified>
</cp:coreProperties>
</file>

<file path=docProps/custom.xml><?xml version="1.0" encoding="utf-8"?>
<Properties xmlns="http://schemas.openxmlformats.org/officeDocument/2006/custom-properties" xmlns:vt="http://schemas.openxmlformats.org/officeDocument/2006/docPropsVTypes"/>
</file>