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3.22 (Aktionen auf das Video: Band parallel anzuschließen, kurze Unterbrechung als neue, noch zu entwerfende Anforderung; s. 9.7.7)</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15.10.2026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3"/>
      </w:pPr>
      <w:r>
        <w:rPr>
          <w:rFonts w:ascii="Arial" w:cs="Arial" w:eastAsia="Arial" w:hAnsi="Arial"/>
          <w:sz w:val="20"/>
          <w:szCs w:val="20"/>
        </w:rPr>
        <w:t xml:space="preserve">9.7.7 Aktionen auf das Video legen: Band und Unterbrechung (v3.22)</w:t>
      </w:r>
    </w:p>
    <w:p>
      <w:pPr>
        <w:spacing w:after="120"/>
      </w:pPr>
      <w:r>
        <w:rPr>
          <w:rFonts w:ascii="Arial" w:cs="Arial" w:eastAsia="Arial" w:hAnsi="Arial"/>
          <w:sz w:val="20"/>
          <w:szCs w:val="20"/>
        </w:rPr>
        <w:t xml:space="preserve">Der Nutzer legt eine Aktion </w:t>
      </w:r>
      <w:r>
        <w:rPr>
          <w:rFonts w:ascii="Arial" w:cs="Arial" w:eastAsia="Arial" w:hAnsi="Arial"/>
          <w:b/>
          <w:bCs/>
          <w:sz w:val="20"/>
          <w:szCs w:val="20"/>
        </w:rPr>
        <w:t xml:space="preserve">auf das Video</w:t>
      </w:r>
      <w:r>
        <w:rPr>
          <w:rFonts w:ascii="Arial" w:cs="Arial" w:eastAsia="Arial" w:hAnsi="Arial"/>
          <w:sz w:val="20"/>
          <w:szCs w:val="20"/>
        </w:rPr>
        <w:t xml:space="preserve">, statt sie nur davor/danach einzuordnen (AD 4.5). Zwei Wirkungen:</w:t>
      </w:r>
    </w:p>
    <w:p>
      <w:pPr>
        <w:pStyle w:val="ListParagraph"/>
        <w:numPr>
          <w:ilvl w:val="0"/>
          <w:numId w:val="2"/>
        </w:numPr>
      </w:pPr>
      <w:r>
        <w:rPr>
          <w:rFonts w:ascii="Arial" w:cs="Arial" w:eastAsia="Arial" w:hAnsi="Arial"/>
          <w:b/>
          <w:bCs/>
          <w:sz w:val="20"/>
          <w:szCs w:val="20"/>
        </w:rPr>
        <w:t xml:space="preserve">Band (parallel, FA-20) – gebaut, aber nicht angeschlossen.</w:t>
      </w:r>
      <w:r>
        <w:rPr>
          <w:rFonts w:ascii="Arial" w:cs="Arial" w:eastAsia="Arial" w:hAnsi="Arial"/>
          <w:sz w:val="20"/>
          <w:szCs w:val="20"/>
        </w:rPr>
        <w:t xml:space="preserve"> Die Ansicht </w:t>
      </w:r>
      <w:r>
        <w:rPr>
          <w:rFonts w:ascii="Consolas" w:cs="Consolas" w:eastAsia="Consolas" w:hAnsi="Consolas"/>
          <w:sz w:val="19"/>
          <w:szCs w:val="19"/>
          <w:shd w:fill="F5F5F3" w:val="clear"/>
        </w:rPr>
        <w:t xml:space="preserve">composer/einblendung-ansicht.tsx</w:t>
      </w:r>
    </w:p>
    <w:p>
      <w:pPr>
        <w:spacing w:after="120"/>
      </w:pPr>
      <w:r>
        <w:rPr>
          <w:rFonts w:ascii="Arial" w:cs="Arial" w:eastAsia="Arial" w:hAnsi="Arial"/>
          <w:sz w:val="20"/>
          <w:szCs w:val="20"/>
        </w:rPr>
        <w:t xml:space="preserve">(#253/M7-60) bearbeitet das Werbeband EINES Video-Elements (Band-Vorlage wählen, Abschnitte</w:t>
      </w:r>
    </w:p>
    <w:p>
      <w:pPr>
        <w:spacing w:after="120"/>
      </w:pPr>
      <w:r>
        <w:rPr>
          <w:rFonts w:ascii="Arial" w:cs="Arial" w:eastAsia="Arial" w:hAnsi="Arial"/>
          <w:sz w:val="20"/>
          <w:szCs w:val="20"/>
        </w:rPr>
        <w:t xml:space="preserve">anlegen/ordnen); die Logik liegt in </w:t>
      </w:r>
      <w:r>
        <w:rPr>
          <w:rFonts w:ascii="Consolas" w:cs="Consolas" w:eastAsia="Consolas" w:hAnsi="Consolas"/>
          <w:sz w:val="19"/>
          <w:szCs w:val="19"/>
          <w:shd w:fill="F5F5F3" w:val="clear"/>
        </w:rPr>
        <w:t xml:space="preserve">einblendung-bearbeiten.ts</w:t>
      </w:r>
      <w:r>
        <w:rPr>
          <w:rFonts w:ascii="Arial" w:cs="Arial" w:eastAsia="Arial" w:hAnsi="Arial"/>
          <w:sz w:val="20"/>
          <w:szCs w:val="20"/>
        </w:rPr>
        <w:t xml:space="preserve"> (#129). Sie ist </w:t>
      </w:r>
      <w:r>
        <w:rPr>
          <w:rFonts w:ascii="Arial" w:cs="Arial" w:eastAsia="Arial" w:hAnsi="Arial"/>
          <w:b/>
          <w:bCs/>
          <w:sz w:val="20"/>
          <w:szCs w:val="20"/>
        </w:rPr>
        <w:t xml:space="preserve">nicht montiert</w:t>
      </w:r>
      <w:r>
        <w:rPr>
          <w:rFonts w:ascii="Arial" w:cs="Arial" w:eastAsia="Arial" w:hAnsi="Arial"/>
          <w:sz w:val="20"/>
          <w:szCs w:val="20"/>
        </w:rPr>
        <w:t xml:space="preserve"> –</w:t>
      </w:r>
    </w:p>
    <w:p>
      <w:pPr>
        <w:spacing w:after="120"/>
      </w:pPr>
      <w:r>
        <w:rPr>
          <w:rFonts w:ascii="Arial" w:cs="Arial" w:eastAsia="Arial" w:hAnsi="Arial"/>
          <w:sz w:val="20"/>
          <w:szCs w:val="20"/>
        </w:rPr>
        <w:t xml:space="preserve">der Composer zeigt nur den Platzhalter „M7-61 nicht angebunden". Anzuschließen ist: (a) die Ansicht am</w:t>
      </w:r>
    </w:p>
    <w:p>
      <w:pPr>
        <w:spacing w:after="120"/>
      </w:pPr>
      <w:r>
        <w:rPr>
          <w:rFonts w:ascii="Arial" w:cs="Arial" w:eastAsia="Arial" w:hAnsi="Arial"/>
          <w:sz w:val="20"/>
          <w:szCs w:val="20"/>
        </w:rPr>
        <w:t xml:space="preserve">Video-Element öffnen, (b) eine aus der Bibliothek gezogene </w:t>
      </w:r>
      <w:r>
        <w:rPr>
          <w:rFonts w:ascii="Arial" w:cs="Arial" w:eastAsia="Arial" w:hAnsi="Arial"/>
          <w:b/>
          <w:bCs/>
          <w:sz w:val="20"/>
          <w:szCs w:val="20"/>
        </w:rPr>
        <w:t xml:space="preserve">Aktion auf das Video</w:t>
      </w:r>
      <w:r>
        <w:rPr>
          <w:rFonts w:ascii="Arial" w:cs="Arial" w:eastAsia="Arial" w:hAnsi="Arial"/>
          <w:sz w:val="20"/>
          <w:szCs w:val="20"/>
        </w:rPr>
        <w:t xml:space="preserve"> als </w:t>
      </w:r>
      <w:r>
        <w:rPr>
          <w:rFonts w:ascii="Arial" w:cs="Arial" w:eastAsia="Arial" w:hAnsi="Arial"/>
          <w:b/>
          <w:bCs/>
          <w:sz w:val="20"/>
          <w:szCs w:val="20"/>
        </w:rPr>
        <w:t xml:space="preserve">Band-Abschnitt</w:t>
      </w:r>
    </w:p>
    <w:p>
      <w:pPr>
        <w:spacing w:after="120"/>
      </w:pPr>
      <w:r>
        <w:rPr>
          <w:rFonts w:ascii="Arial" w:cs="Arial" w:eastAsia="Arial" w:hAnsi="Arial"/>
          <w:sz w:val="20"/>
          <w:szCs w:val="20"/>
        </w:rPr>
        <w:t xml:space="preserve">aufnehmen (über die bestehenden </w:t>
      </w:r>
      <w:r>
        <w:rPr>
          <w:rFonts w:ascii="Consolas" w:cs="Consolas" w:eastAsia="Consolas" w:hAnsi="Consolas"/>
          <w:sz w:val="19"/>
          <w:szCs w:val="19"/>
          <w:shd w:fill="F5F5F3" w:val="clear"/>
        </w:rPr>
        <w:t xml:space="preserve">einblendung-bearbeiten</w:t>
      </w:r>
      <w:r>
        <w:rPr>
          <w:rFonts w:ascii="Arial" w:cs="Arial" w:eastAsia="Arial" w:hAnsi="Arial"/>
          <w:sz w:val="20"/>
          <w:szCs w:val="20"/>
        </w:rPr>
        <w:t xml:space="preserve">-Operationen – kein zweiter Schreibweg),</w:t>
      </w:r>
    </w:p>
    <w:p>
      <w:pPr>
        <w:spacing w:after="120"/>
      </w:pPr>
      <w:r>
        <w:rPr>
          <w:rFonts w:ascii="Arial" w:cs="Arial" w:eastAsia="Arial" w:hAnsi="Arial"/>
          <w:sz w:val="20"/>
          <w:szCs w:val="20"/>
        </w:rPr>
        <w:t xml:space="preserve">(c) Undo wie jede andere Sicht-Korrektur (ein Schritt, #243-Hülle).</w:t>
      </w:r>
    </w:p>
    <w:p>
      <w:pPr>
        <w:pStyle w:val="ListParagraph"/>
        <w:numPr>
          <w:ilvl w:val="0"/>
          <w:numId w:val="2"/>
        </w:numPr>
      </w:pPr>
      <w:r>
        <w:rPr>
          <w:rFonts w:ascii="Arial" w:cs="Arial" w:eastAsia="Arial" w:hAnsi="Arial"/>
          <w:b/>
          <w:bCs/>
          <w:sz w:val="20"/>
          <w:szCs w:val="20"/>
        </w:rPr>
        <w:t xml:space="preserve">Kurze Unterbrechung (NEU – offen, noch nicht gebaut).</w:t>
      </w:r>
      <w:r>
        <w:rPr>
          <w:rFonts w:ascii="Arial" w:cs="Arial" w:eastAsia="Arial" w:hAnsi="Arial"/>
          <w:sz w:val="20"/>
          <w:szCs w:val="20"/>
        </w:rPr>
        <w:t xml:space="preserve"> Die Aktion </w:t>
      </w:r>
      <w:r>
        <w:rPr>
          <w:rFonts w:ascii="Arial" w:cs="Arial" w:eastAsia="Arial" w:hAnsi="Arial"/>
          <w:b/>
          <w:bCs/>
          <w:sz w:val="20"/>
          <w:szCs w:val="20"/>
        </w:rPr>
        <w:t xml:space="preserve">pausiert</w:t>
      </w:r>
      <w:r>
        <w:rPr>
          <w:rFonts w:ascii="Arial" w:cs="Arial" w:eastAsia="Arial" w:hAnsi="Arial"/>
          <w:sz w:val="20"/>
          <w:szCs w:val="20"/>
        </w:rPr>
        <w:t xml:space="preserve"> das Video kurz,</w:t>
      </w:r>
    </w:p>
    <w:p>
      <w:pPr>
        <w:spacing w:after="120"/>
      </w:pPr>
      <w:r>
        <w:rPr>
          <w:rFonts w:ascii="Arial" w:cs="Arial" w:eastAsia="Arial" w:hAnsi="Arial"/>
          <w:sz w:val="20"/>
          <w:szCs w:val="20"/>
        </w:rPr>
        <w:t xml:space="preserve">läuft, danach läuft das Video </w:t>
      </w:r>
      <w:r>
        <w:rPr>
          <w:rFonts w:ascii="Arial" w:cs="Arial" w:eastAsia="Arial" w:hAnsi="Arial"/>
          <w:b/>
          <w:bCs/>
          <w:sz w:val="20"/>
          <w:szCs w:val="20"/>
        </w:rPr>
        <w:t xml:space="preserve">weiter</w:t>
      </w:r>
      <w:r>
        <w:rPr>
          <w:rFonts w:ascii="Arial" w:cs="Arial" w:eastAsia="Arial" w:hAnsi="Arial"/>
          <w:sz w:val="20"/>
          <w:szCs w:val="20"/>
        </w:rPr>
        <w:t xml:space="preserve">. Das berührt </w:t>
      </w:r>
      <w:r>
        <w:rPr>
          <w:rFonts w:ascii="Arial" w:cs="Arial" w:eastAsia="Arial" w:hAnsi="Arial"/>
          <w:b/>
          <w:bCs/>
          <w:sz w:val="20"/>
          <w:szCs w:val="20"/>
        </w:rPr>
        <w:t xml:space="preserve">Datenmodell und Render</w:t>
      </w:r>
      <w:r>
        <w:rPr>
          <w:rFonts w:ascii="Arial" w:cs="Arial" w:eastAsia="Arial" w:hAnsi="Arial"/>
          <w:sz w:val="20"/>
          <w:szCs w:val="20"/>
        </w:rPr>
        <w:t xml:space="preserve"> (das Video wird an</w:t>
      </w:r>
    </w:p>
    <w:p>
      <w:pPr>
        <w:spacing w:after="120"/>
      </w:pPr>
      <w:r>
        <w:rPr>
          <w:rFonts w:ascii="Arial" w:cs="Arial" w:eastAsia="Arial" w:hAnsi="Arial"/>
          <w:sz w:val="20"/>
          <w:szCs w:val="20"/>
        </w:rPr>
        <w:t xml:space="preserve">der Stelle geteilt: Video-Teil · Aktion · Video-Teil) und ist </w:t>
      </w:r>
      <w:r>
        <w:rPr>
          <w:rFonts w:ascii="Arial" w:cs="Arial" w:eastAsia="Arial" w:hAnsi="Arial"/>
          <w:b/>
          <w:bCs/>
          <w:sz w:val="20"/>
          <w:szCs w:val="20"/>
        </w:rPr>
        <w:t xml:space="preserve">noch zu entwerfen</w:t>
      </w:r>
      <w:r>
        <w:rPr>
          <w:rFonts w:ascii="Arial" w:cs="Arial" w:eastAsia="Arial" w:hAnsi="Arial"/>
          <w:sz w:val="20"/>
          <w:szCs w:val="20"/>
        </w:rPr>
        <w:t xml:space="preserve"> – Modell, Konkatenation</w:t>
      </w:r>
    </w:p>
    <w:p>
      <w:pPr>
        <w:spacing w:after="120"/>
      </w:pPr>
      <w:r>
        <w:rPr>
          <w:rFonts w:ascii="Arial" w:cs="Arial" w:eastAsia="Arial" w:hAnsi="Arial"/>
          <w:sz w:val="20"/>
          <w:szCs w:val="20"/>
        </w:rPr>
        <w:t xml:space="preserve">(TK 9.2) und Undo-Semantik. </w:t>
      </w:r>
      <w:r>
        <w:rPr>
          <w:rFonts w:ascii="Arial" w:cs="Arial" w:eastAsia="Arial" w:hAnsi="Arial"/>
          <w:b/>
          <w:bCs/>
          <w:sz w:val="20"/>
          <w:szCs w:val="20"/>
        </w:rPr>
        <w:t xml:space="preserve">Nicht selbst entscheiden.</w:t>
      </w:r>
    </w:p>
    <w:p>
      <w:pPr>
        <w:spacing w:after="120"/>
      </w:pPr>
      <w:r>
        <w:rPr>
          <w:rFonts w:ascii="Arial" w:cs="Arial" w:eastAsia="Arial" w:hAnsi="Arial"/>
          <w:sz w:val="20"/>
          <w:szCs w:val="20"/>
        </w:rPr>
        <w:t xml:space="preserve">Die verwandte </w:t>
      </w:r>
      <w:r>
        <w:rPr>
          <w:rFonts w:ascii="Arial" w:cs="Arial" w:eastAsia="Arial" w:hAnsi="Arial"/>
          <w:b/>
          <w:bCs/>
          <w:sz w:val="20"/>
          <w:szCs w:val="20"/>
        </w:rPr>
        <w:t xml:space="preserve">„Banner-Spur"</w:t>
      </w:r>
      <w:r>
        <w:rPr>
          <w:rFonts w:ascii="Arial" w:cs="Arial" w:eastAsia="Arial" w:hAnsi="Arial"/>
          <w:sz w:val="20"/>
          <w:szCs w:val="20"/>
        </w:rPr>
        <w:t xml:space="preserve"> (Welle 2, BA-Familie) ist davon zu trennen: ihre Plan-Quelle</w:t>
      </w:r>
    </w:p>
    <w:p>
      <w:pPr>
        <w:spacing w:after="120"/>
      </w:pPr>
      <w:r>
        <w:rPr>
          <w:rFonts w:ascii="Consolas" w:cs="Consolas" w:eastAsia="Consolas" w:hAnsi="Consolas"/>
          <w:sz w:val="19"/>
          <w:szCs w:val="19"/>
          <w:shd w:fill="F5F5F3" w:val="clear"/>
        </w:rPr>
        <w:t xml:space="preserve">trennung-banner-aktionen-plan.md</w:t>
      </w:r>
      <w:r>
        <w:rPr>
          <w:rFonts w:ascii="Arial" w:cs="Arial" w:eastAsia="Arial" w:hAnsi="Arial"/>
          <w:sz w:val="20"/>
          <w:szCs w:val="20"/>
        </w:rPr>
        <w:t xml:space="preserve"> </w:t>
      </w:r>
      <w:r>
        <w:rPr>
          <w:rFonts w:ascii="Arial" w:cs="Arial" w:eastAsia="Arial" w:hAnsi="Arial"/>
          <w:b/>
          <w:bCs/>
          <w:sz w:val="20"/>
          <w:szCs w:val="20"/>
        </w:rPr>
        <w:t xml:space="preserve">fehlt im Repo</w:t>
      </w:r>
      <w:r>
        <w:rPr>
          <w:rFonts w:ascii="Arial" w:cs="Arial" w:eastAsia="Arial" w:hAnsi="Arial"/>
          <w:sz w:val="20"/>
          <w:szCs w:val="20"/>
        </w:rPr>
        <w:t xml:space="preserve">; die Band-Kette ist eigenständig und ohne sie baubar.</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2026-10-15T14:08:28.703Z</dcterms:created>
  <dcterms:modified xsi:type="dcterms:W3CDTF">2026-10-15T14:08:28.704Z</dcterms:modified>
</cp:coreProperties>
</file>

<file path=docProps/custom.xml><?xml version="1.0" encoding="utf-8"?>
<Properties xmlns="http://schemas.openxmlformats.org/officeDocument/2006/custom-properties" xmlns:vt="http://schemas.openxmlformats.org/officeDocument/2006/docPropsVTypes"/>
</file>