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drawing>
          <wp:inline distT="0" distB="0" distL="0" distR="0">
            <wp:extent cx="28575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Anforderungsdokument</w:t>
      </w:r>
    </w:p>
    <w:p>
      <w:pPr>
        <w:spacing w:after="160"/>
        <w:jc w:val="center"/>
      </w:pPr>
      <w:r>
        <w:rPr>
          <w:color w:val="5F5E5A"/>
          <w:sz w:val="28"/>
          <w:szCs w:val="28"/>
        </w:rPr>
        <w:t xml:space="preserve">Digital-Signage-Tool für das Fitnessstudio der Baller Gruppe</w:t>
      </w:r>
    </w:p>
    <w:p>
      <w:pPr>
        <w:pBdr>
          <w:bottom w:val="single" w:color="FF4040" w:sz="24" w:space="1"/>
        </w:pBdr>
        <w:spacing w:after="320"/>
        <w:jc w:val="center"/>
      </w:pPr>
    </w:p>
    <w:p>
      <w:pPr>
        <w:spacing w:after="40"/>
      </w:pPr>
      <w:r>
        <w:rPr>
          <w:b/>
          <w:bCs/>
        </w:rPr>
        <w:t xml:space="preserve">Auftraggeber:  </w:t>
      </w:r>
      <w:r>
        <w:t xml:space="preserve">Baller Gruppe</w:t>
      </w:r>
    </w:p>
    <w:p>
      <w:pPr>
        <w:spacing w:after="40"/>
      </w:pPr>
      <w:r>
        <w:rPr>
          <w:b/>
          <w:bCs/>
        </w:rPr>
        <w:t xml:space="preserve">Bearbeitung:  </w:t>
      </w:r>
      <w:r>
        <w:t xml:space="preserve">[Name], Berufspraktikum</w:t>
      </w:r>
    </w:p>
    <w:p>
      <w:pPr>
        <w:spacing w:after="40"/>
      </w:pPr>
      <w:r>
        <w:rPr>
          <w:b/>
          <w:bCs/>
        </w:rPr>
        <w:t xml:space="preserve">Datum:  </w:t>
      </w:r>
      <w:r>
        <w:t xml:space="preserve">30.06.2026</w:t>
      </w:r>
    </w:p>
    <w:p>
      <w:pPr>
        <w:spacing w:after="40"/>
      </w:pPr>
      <w:r>
        <w:rPr>
          <w:b/>
          <w:bCs/>
        </w:rPr>
        <w:t xml:space="preserve">Version:  </w:t>
      </w:r>
      <w:r>
        <w:t xml:space="preserve">0.3 (Entwurf)</w:t>
      </w:r>
    </w:p>
    <w:p>
      <w:pPr>
        <w:spacing w:after="40"/>
      </w:pPr>
      <w:r>
        <w:rPr>
          <w:b/>
          <w:bCs/>
        </w:rPr>
        <w:t xml:space="preserve">Status:  </w:t>
      </w:r>
      <w:r>
        <w:t xml:space="preserve">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Inhaltsverzeichnis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FF4040" w:sz="8" w:space="4"/>
        </w:pBdr>
      </w:pPr>
      <w:r>
        <w:t xml:space="preserve">1. Einleitung und Zielsetzung</w:t>
      </w:r>
    </w:p>
    <w:p>
      <w:pPr>
        <w:spacing w:after="120"/>
      </w:pPr>
      <w: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b/>
          <w:bCs/>
        </w:rPr>
        <w:t xml:space="preserve">ein einziges, fertiges Ausgabevideo</w:t>
      </w:r>
      <w: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  <w:pBdr>
          <w:bottom w:val="single" w:color="FF4040" w:sz="8" w:space="4"/>
        </w:pBdr>
      </w:pPr>
      <w:r>
        <w:t xml:space="preserve">2. Ausgangslage und Rahmenbedingungen</w:t>
      </w:r>
    </w:p>
    <w:p>
      <w:pPr>
        <w:pStyle w:val="Heading2"/>
      </w:pPr>
      <w:r>
        <w:t xml:space="preserve">2.1 Fachlicher Kontext</w:t>
      </w:r>
    </w:p>
    <w:p>
      <w:pPr>
        <w:spacing w:after="120"/>
      </w:pPr>
      <w:r>
        <w:t xml:space="preserve">Anzuzeigen sind drei Arten von Inhalten: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Produktwerbung</w:t>
      </w:r>
      <w: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Studiointerne Angebote / Aktionen</w:t>
      </w:r>
      <w: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Sportbezogene Videoinhalte</w:t>
      </w:r>
      <w:r>
        <w:t xml:space="preserve"> – bestehende Videoclips (z. B. Übungen, Imagevideos).</w:t>
      </w:r>
    </w:p>
    <w:p>
      <w:pPr>
        <w:pStyle w:val="Heading2"/>
      </w:pPr>
      <w:r>
        <w:t xml:space="preserve">2.2 Hardware-Umgebung (Wiedergabegerät)</w:t>
      </w:r>
    </w:p>
    <w:p>
      <w:pPr>
        <w:spacing w:after="120"/>
      </w:pPr>
      <w:r>
        <w:t xml:space="preserve">Die Wiedergabe erfolgt auf einem vorhandenen Consumer-Fernseher. Es steht keine zusätzliche Abspiel-Hardware zur Verfügung. Die Inhalte werden über einen USB-Speicher bereitgestellt und über den integrierten Media Player des Fernsehers im Demo-/Store-Modus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Merkmal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Wert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Modell (MN)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UE85AU7170UXXN (85", 4K UHD, Tizen)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Seriennummer (SN)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0EAS3SUT800009L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Firmware (FW)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T-KSU2EDEUC-2111.1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Firmware-Paket (FC)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SWU-OU_T-KSU2EDEUC_2111_221104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Modell-ID (MI)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T-KSU2EDEUC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Region (LS)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EU_BENELUX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Geräte-ID (DI)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MTCAXEUHRAU3G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MAC-Adresse (MA)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04:B9:E3:F6:E4:80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Empf. Ausgabeauflösung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3840 × 2160 (4K) bzw. 1920 × 1080 als Fallback</w:t>
            </w:r>
          </w:p>
        </w:tc>
      </w:tr>
    </w:tbl>
    <w:p>
      <w:pPr>
        <w:pStyle w:val="Heading2"/>
      </w:pPr>
      <w:r>
        <w:t xml:space="preserve">2.3 Organisatorische Rahmenbedingungen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Die Anwendung wird intern genutzt; es arbeitet maximal ein Nutzer gleichzeitig mit dem Tool.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Es ist keine Netzwerk- oder Cloud-Anbindung erforderlich; das Tool arbeitet lokal/offline.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Die Anwendung läuft auf einem Arbeitsplatzrechner (Laptop), nicht auf dem Fernseher.</w:t>
      </w:r>
    </w:p>
    <w:p>
      <w:pPr>
        <w:pStyle w:val="Heading1"/>
        <w:pBdr>
          <w:bottom w:val="single" w:color="FF4040" w:sz="8" w:space="4"/>
        </w:pBdr>
      </w:pPr>
      <w:r>
        <w:t xml:space="preserve">3. Systemüberblick / Lösungskonzept</w:t>
      </w:r>
    </w:p>
    <w:p>
      <w:pPr>
        <w:spacing w:after="120"/>
      </w:pPr>
      <w: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Management- und Render-Tool (auf dem Laptop): </w:t>
      </w:r>
      <w:r>
        <w:t xml:space="preserve">Verwaltung von Videos und Produkten/Aktionen, Festlegung der Reihenfolge, Rendering zu einer MP4, Ablage auf USB.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Wiedergabe (am Fernseher): </w:t>
      </w:r>
      <w:r>
        <w:t xml:space="preserve">Der Fernseher gibt die fertige MP4 vom USB-Speicher im Demo-/Store-Modus als Endlosschleife aus.</w:t>
      </w:r>
    </w:p>
    <w:p>
      <w:pPr>
        <w:shd w:fill="F1EFE8" w:val="clear"/>
        <w:spacing w:after="120" w:before="80"/>
        <w:jc w:val="center"/>
      </w:pPr>
      <w:r>
        <w:rPr>
          <w:rFonts w:ascii="Consolas" w:cs="Consolas" w:eastAsia="Consolas" w:hAnsi="Consolas"/>
        </w:rPr>
        <w:t xml:space="preserve">Laptop (Tool)  →  MP4  →  USB-Stick  →  TV (Demo-Modus, Endlosschleife)</w:t>
      </w:r>
    </w:p>
    <w:p>
      <w:pPr>
        <w:spacing w:after="120"/>
      </w:pPr>
      <w:r>
        <w:rPr>
          <w:b/>
          <w:bCs/>
        </w:rPr>
        <w:t xml:space="preserve">Begründung der Entkopplung: </w:t>
      </w:r>
      <w:r>
        <w:t xml:space="preserve">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Software auf den Laptop und nutzt am Fernseher nur die robuste, eingebaute USB-Wiedergabe.</w:t>
      </w:r>
    </w:p>
    <w:p>
      <w:pPr>
        <w:pStyle w:val="Heading1"/>
        <w:pBdr>
          <w:bottom w:val="single" w:color="FF4040" w:sz="8" w:space="4"/>
        </w:pBdr>
      </w:pPr>
      <w:r>
        <w:t xml:space="preserve">4. Funktionale Anforderungen</w:t>
      </w:r>
    </w:p>
    <w:p>
      <w:pPr>
        <w:spacing w:after="120"/>
      </w:pPr>
      <w:r>
        <w:t xml:space="preserve">Priorität nach MoSCoW: </w:t>
      </w:r>
      <w:r>
        <w:rPr>
          <w:b/>
          <w:bCs/>
        </w:rPr>
        <w:t xml:space="preserve">Muss</w:t>
      </w:r>
      <w:r>
        <w:t xml:space="preserve"> (zwingend), </w:t>
      </w:r>
      <w:r>
        <w:rPr>
          <w:b/>
          <w:bCs/>
        </w:rPr>
        <w:t xml:space="preserve">Soll</w:t>
      </w:r>
      <w:r>
        <w:t xml:space="preserve"> (wichtig), </w:t>
      </w:r>
      <w:r>
        <w:rPr>
          <w:b/>
          <w:bCs/>
        </w:rPr>
        <w:t xml:space="preserve">Kann</w:t>
      </w:r>
      <w: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300"/>
        <w:gridCol w:w="4906"/>
        <w:gridCol w:w="1000"/>
      </w:tblGrid>
      <w:tr>
        <w:trPr>
          <w:tblHeader/>
        </w:trP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Anforderung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Beschreibung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Priorität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Video importieren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Ein oder mehrere bestehende Videos (mind. MP4) können importiert und in einer Liste verwaltet werden.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Produkt/Aktion anlegen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Produkte bzw. Aktionen können neu angelegt werden (Felder z. B.: Titel, Beschreibung/Text, optional Preis, optional Bild, Anzeigedauer).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Inhalte bearbeiten/löschen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Vorhandene Videos und Produkte/Aktionen können bearbeitet und entfernt werden.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Aktions-Segment erzeugen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Aus einem Produkt/einer Aktion (Text + optional Bild) wird ein anzeigbares Segment mit definierter Anzeigedauer erzeugt.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Reihenfolge festlegen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Alle Elemente (Videos + Aktions-Segmente) können zu einer Wiedergabeliste zusammengestellt und angeordnet werden (Drag-and-drop).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Anzeigedauer steuern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Je Element (insb. Aktions-Segmente) ist eine individuelle Anzeigedauer einstellbar.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02020"/>
              </w:rPr>
              <w:t xml:space="preserve">Soll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Vorschau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Die zusammengestellte Sequenz kann vor dem Rendern in der Anwendung betrachtet werden.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02020"/>
              </w:rPr>
              <w:t xml:space="preserve">Soll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Ausgabe-Rendering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Aus der Wiedergabeliste wird eine einzige MP4-Datei in definierter Auflösung und Codierung erzeugt.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FA-09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Export auf USB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Die fertige MP4 kann in einen Zielordner bzw. direkt auf den USB-Speicher exportiert werden.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B00020"/>
              </w:rPr>
              <w:t xml:space="preserve">Muss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FA-10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Projekt speichern/laden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Eine Zusammenstellung kann gespeichert und später wieder geladen werden, um Inhalte effizient zu aktualisieren.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02020"/>
              </w:rPr>
              <w:t xml:space="preserve">Soll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FA-11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Einheitliches Grundlayout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Aktions-Segmente verwenden ein einheitliches Grundlayout im Corporate Design von Fitnessworld24.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02020"/>
              </w:rPr>
              <w:t xml:space="preserve">Soll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FA-12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Gestalterischer Spielraum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Innerhalb des Grundlayouts sind definierte Bereiche frei gestaltbar (Überschrift, Bild, Preis/CTA, Akzentfarbe).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02020"/>
              </w:rPr>
              <w:t xml:space="preserve">Soll</w:t>
            </w:r>
          </w:p>
        </w:tc>
      </w:tr>
    </w:tbl>
    <w:p>
      <w:pPr>
        <w:spacing w:before="120"/>
      </w:pPr>
    </w:p>
    <w:p>
      <w:pPr>
        <w:pStyle w:val="Heading2"/>
      </w:pPr>
      <w:r>
        <w:t xml:space="preserve">4.1 Gestaltung der Aktions-Segmente (Corporate Design)</w:t>
      </w:r>
    </w:p>
    <w:p>
      <w:pPr>
        <w:spacing w:after="120"/>
      </w:pPr>
      <w:r>
        <w:t xml:space="preserve">Aktions-Segmente folgen dem Markenauftritt von Fitnessworld24 (24/7-Fitnessstudio, Weißensberg/Lindau am Bodensee). Gestalterische Grundlage ist die Website fitnessworld24.li. Ziel ist eine Balance aus Wiedererkennbarkeit und Werbewirkung: ein fester Markenrahmen sorgt für ein einheitliches, professionelles Erscheinungsbild, während klar definierte freie Bereiche jeder Aktion einen eigenen, ansprechenden Auftritt erlauben.</w:t>
      </w:r>
    </w:p>
    <w:p>
      <w:pPr>
        <w:spacing w:after="120"/>
      </w:pPr>
      <w:r>
        <w:rPr>
          <w:b/>
          <w:bCs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Einheitliche Ränder/Sicherheitsabstände, abgestimmt auf die TV-Auflösung (4K bzw. 1080p).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Optionaler, wiederkehrender Marken-Slogan im Stil der Website (z. B. „Trainiere wann du willst. Nicht wann es passt.“).</w:t>
      </w:r>
    </w:p>
    <w:p>
      <w:pPr>
        <w:spacing w:after="120"/>
      </w:pPr>
      <w:r>
        <w:rPr>
          <w:b/>
          <w:bCs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Preis bzw. Call-to-Action (z. B. „Gratis Probetraining sichern“).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Akzentfarbe oder Aktions-Badge zur Hervorhebung.</w:t>
      </w:r>
    </w:p>
    <w:p>
      <w:pPr>
        <w:pStyle w:val="Heading2"/>
      </w:pPr>
      <w:r>
        <w:t xml:space="preserve">4.2 Design-Tokens / Style-Guide</w:t>
      </w:r>
    </w:p>
    <w:p>
      <w:pPr>
        <w:spacing w:after="120"/>
      </w:pPr>
      <w:r>
        <w:t xml:space="preserve">Aus dem Markenauftritt ergibt sich folgende Gestaltungsbasis. Wix-spezifische Editor-/Systemfarben wurden aussortiert (siehe Hinweis unten).</w:t>
      </w:r>
    </w:p>
    <w:p>
      <w:pPr>
        <w:spacing w:after="120"/>
      </w:pPr>
      <w:r>
        <w:rPr>
          <w:b/>
          <w:bCs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500"/>
        <w:gridCol w:w="4466"/>
      </w:tblGrid>
      <w:tr>
        <w:trPr>
          <w:tblHeader/>
        </w:trP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Rolle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Hex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Anmerkung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404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Primär / Akzent (Rot)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#FF4040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Primärfarbe – Signal für Aktionen, Badges, CTA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F313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Akzent kräftig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#DF3131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satte Variante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2B2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Akzent alternativ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#D62B2B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zweite Rot-Stufe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7131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Dunkelrot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#971316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Akzenttext, Tiefe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090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Bordeaux / sehr dunkel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#4B090B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dunkle Flächen, starker Kontrast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AEA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Rot-Tint hell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#F5AEAF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dezente Hintergründe/Flächen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212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Schwarz / 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#212121 / #202020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Haupttext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F2E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Hintergrund dunkel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#2F2E2E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dunkle Segment-Hintergründe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Weiß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#FFFFFF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Flächen, Text auf Dunkel</w:t>
            </w:r>
          </w:p>
        </w:tc>
      </w:tr>
      <w:t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CCC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/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Grautöne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#8F8F8F … #E2E2E2</w:t>
            </w:r>
          </w:p>
        </w:tc>
        <w:tc>
          <w:tcPr>
            <w:tcW w:type="dxa" w:w="4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Sekundärtext, Linien, Flächen</w:t>
            </w:r>
          </w:p>
        </w:tc>
      </w:tr>
    </w:tbl>
    <w:p>
      <w:pPr>
        <w:spacing w:before="120"/>
      </w:pPr>
      <w:r>
        <w:rPr>
          <w:b/>
          <w:bCs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6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Rolle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Schrift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Anmerkung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Headline / Display (elegant)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Playfair Display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Serif, für Überschriften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Headline / Display (kräftig)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Avenir 85 Heavy / Arial Black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plakative Werbe-Headlines/Slogans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Fließtext / UI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Helvetica / Helvetica Neue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Standardtext (Light, Roman, Bold)</w:t>
            </w:r>
          </w:p>
        </w:tc>
      </w:tr>
    </w:tbl>
    <w:p>
      <w:pPr>
        <w:spacing w:before="120"/>
      </w:pPr>
      <w:r>
        <w:rPr>
          <w:b/>
          <w:bCs/>
        </w:rPr>
        <w:t xml:space="preserve">Form &amp; Tiefe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Eckenradius: Buttons/Badges als Pille (30–50px), Karten/Flächen 8–10px, kleine Elemente 2px.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Schatten (Karten/Flächen, dezent): </w:t>
      </w:r>
      <w:r>
        <w:rPr>
          <w:rFonts w:ascii="Consolas" w:cs="Consolas" w:eastAsia="Consolas" w:hAnsi="Consolas"/>
        </w:rPr>
        <w:t xml:space="preserve">0 4px 8px rgba(0,0,0,.1)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Hinweis (aussortierte Wix-Artefakte): </w:t>
      </w:r>
      <w:r>
        <w:t xml:space="preserve">Das Editor-Blau #116DFF (inkl. Fokus-Schatten), das Standard-Link-Blau #0000EE, die Wix-Systemschrift „Madefor“, unaufgelöste Theme-Variablen (color_xx, Ricos-Tupel) und CSS-Systemfarben (Highlight) gehören nicht zum Studio-Branding und werden nicht verwendet.</w:t>
      </w:r>
    </w:p>
    <w:p>
      <w:pPr>
        <w:spacing w:after="120"/>
      </w:pPr>
      <w:r>
        <w:rPr>
          <w:b/>
          <w:bCs/>
        </w:rPr>
        <w:t xml:space="preserve">Logo &amp; Primärfarbe (geklärt): </w:t>
      </w:r>
      <w:r>
        <w:t xml:space="preserve">Die verbindliche Primärfarbe ist #FF4040. Das offizielle Logo liegt vor (Quelle: Markenauftritt / Website).</w:t>
      </w:r>
    </w:p>
    <w:p>
      <w:pPr>
        <w:pStyle w:val="Heading1"/>
        <w:pBdr>
          <w:bottom w:val="single" w:color="FF4040" w:sz="8" w:space="4"/>
        </w:pBdr>
      </w:pPr>
      <w:r>
        <w:t xml:space="preserve">5. Technische Rahmenbedingungen (Vorschlag)</w:t>
      </w:r>
    </w:p>
    <w:p>
      <w:pPr>
        <w:spacing w:after="120"/>
      </w:pPr>
      <w: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Render-Engine: </w:t>
      </w:r>
      <w:r>
        <w:t xml:space="preserve">ffmpeg für Verkettung der Clips, Erzeugung der Aktions-Segmente (Bild/Text → Videosegment) und Encoding der finalen MP4.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Benutzeroberfläche: </w:t>
      </w:r>
      <w:r>
        <w:t xml:space="preserve">Web- oder Desktop-Oberfläche mit Liste, Drag-and-drop-Reihenfolge und Vorschau.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Datenhaltung: </w:t>
      </w:r>
      <w:r>
        <w:t xml:space="preserve">lokale Speicherung der Projektdaten (z. B. JSON oder SQLite) sowie der Medien im Dateisystem.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Zielformat: </w:t>
      </w:r>
      <w:r>
        <w:t xml:space="preserve">MP4 (H.264 / AAC), 3840 × 2160 oder 1920 × 1080.</w:t>
      </w:r>
    </w:p>
    <w:p>
      <w:pPr>
        <w:pStyle w:val="Heading1"/>
        <w:pBdr>
          <w:bottom w:val="single" w:color="FF4040" w:sz="8" w:space="4"/>
        </w:pBdr>
      </w:pPr>
      <w:r>
        <w:t xml:space="preserve">6. Wiedergabe am Fernseher (Demo-Modus)</w:t>
      </w:r>
    </w:p>
    <w:p>
      <w:pPr>
        <w:spacing w:after="120"/>
      </w:pPr>
      <w: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Wiederholung: </w:t>
      </w:r>
      <w:r>
        <w:t xml:space="preserve">Quelle USB wählen und „Wiederholen / Repeat All“ aktivieren.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Demo-/Store-Modus: </w:t>
      </w:r>
      <w:r>
        <w:t xml:space="preserve">Über den Store-Modus (mit deaktiviertem E-POP) kann der Fernseher die USB-Schleife nach dem Einschalten automatisch starten. Verhalten ist modell-/firmwareabhängig und am Gerät zu verifizieren.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Energieoptionen: </w:t>
      </w:r>
      <w:r>
        <w:t xml:space="preserve">Automatisches Ausschalten, Energiesparmodus und Bildschirmschoner deaktivieren.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Aktualisierung: </w:t>
      </w:r>
      <w:r>
        <w:t xml:space="preserve">Inhalte werden aktualisiert, indem die MP4 auf dem USB-Speicher ersetzt wird.</w:t>
      </w:r>
    </w:p>
    <w:p>
      <w:pPr>
        <w:pStyle w:val="Heading1"/>
        <w:pBdr>
          <w:bottom w:val="single" w:color="FF4040" w:sz="8" w:space="4"/>
        </w:pBdr>
      </w:pPr>
      <w:r>
        <w:t xml:space="preserve">7. Abgrenzung (Out of Scope)</w:t>
      </w:r>
    </w:p>
    <w:p>
      <w:pPr>
        <w:spacing w:after="120"/>
      </w:pPr>
      <w:r>
        <w:t xml:space="preserve">Nicht Bestandteil der ersten Version: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Entwicklung/Deployment einer App direkt auf dem Fernseher (Tizen/Smart-TV-App).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Automatische Verteilung des Videos (außer Ablage auf USB).</w:t>
      </w:r>
    </w:p>
    <w:p>
      <w:pPr>
        <w:pStyle w:val="Heading1"/>
        <w:pBdr>
          <w:bottom w:val="single" w:color="FF4040" w:sz="8" w:space="4"/>
        </w:pBdr>
      </w:pPr>
      <w:r>
        <w:t xml:space="preserve">8. Annahmen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Es ist zunächst ein Studio-Bildschirm zu bespielen (Prototyp/erste Ausbaustufe).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Der Fernseher verbleibt im Studio dauerhaft eingeschaltet bzw. wird täglich eingeschaltet.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Das Ausgabevideo wird voraussichtlich ohne Ton (stummgeschaltet) wiedergegeben.</w:t>
      </w:r>
    </w:p>
    <w:p>
      <w:pPr>
        <w:pStyle w:val="Heading1"/>
        <w:pBdr>
          <w:bottom w:val="single" w:color="FF4040" w:sz="8" w:space="4"/>
        </w:pBdr>
      </w:pPr>
      <w:r>
        <w:t xml:space="preserve">9.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300"/>
        <w:gridCol w:w="5906"/>
      </w:tblGrid>
      <w:tr>
        <w:trPr>
          <w:tblHeader/>
        </w:trP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Thema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Beschreibung / zu klären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Auto-Start im Demo-Modus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Manueller Neustart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Codec-/Format-Kompatibilität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Konkrete Encoding-Parameter sind am Gerät zu verifizieren (Auflösung, Bitrate, Audiospur).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Steuerleisten-Einblendung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Beim Wiederholen kann sich kurz eine Bedienleiste einblenden; durch eine einzige lange MP4 wird dies minimiert.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Energie-/Timeout-Verhalten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Energiespar- und Abschalt-Einstellungen müssen korrekt gesetzt sein, damit die Schleife nicht abbricht.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R-06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Ton</w:t>
            </w:r>
          </w:p>
        </w:tc>
        <w:tc>
          <w:tcPr>
            <w:tcW w:type="dxa" w:w="5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Voraussichtlich kein Ton – das Video wird stummgeschaltet ausgespielt. Finale Festlegung steht noch aus.</w:t>
            </w:r>
          </w:p>
        </w:tc>
      </w:tr>
    </w:tbl>
    <w:p>
      <w:pPr>
        <w:pStyle w:val="Heading1"/>
        <w:pBdr>
          <w:bottom w:val="single" w:color="FF4040" w:sz="8" w:space="4"/>
        </w:pBdr>
      </w:pPr>
      <w:r>
        <w:t xml:space="preserve">10. Ausbaustufen (Roadmap, optional)</w:t>
      </w:r>
    </w:p>
    <w:p>
      <w:pPr>
        <w:spacing w:after="120"/>
      </w:pPr>
      <w: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Dedizierter Player (z. B. Raspberry Pi): </w:t>
      </w:r>
      <w:r>
        <w:t xml:space="preserve">echter Auto-Start beim Booten und automatische Wiederherstellung nach Absturz.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Mehrere Studios / zentrale Verwaltung: </w:t>
      </w:r>
      <w:r>
        <w:t xml:space="preserve">zentrale Inhaltsverwaltung mit Verteilung an mehrere Bildschirme.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Scheduling: </w:t>
      </w:r>
      <w:r>
        <w:t xml:space="preserve">zeit- oder tagesabhängige Steuerung der angezeigten Inhalte.</w:t>
      </w:r>
    </w:p>
    <w:p>
      <w:pPr>
        <w:pStyle w:val="Heading1"/>
        <w:pBdr>
          <w:bottom w:val="single" w:color="FF4040" w:sz="8" w:space="4"/>
        </w:pBdr>
      </w:pPr>
      <w:r>
        <w:t xml:space="preserve">11. Akzeptanzkriterien</w:t>
      </w:r>
    </w:p>
    <w:p>
      <w:pPr>
        <w:spacing w:after="120"/>
      </w:pPr>
      <w:r>
        <w:t xml:space="preserve">Die erste Version gilt als erfolgreich, wenn: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Videos sowie Produkte/Aktionen über die Oberfläche angelegt, bearbeitet, gelöscht und angeordnet werden können (FA-01 bis FA-05).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Aus der Zusammenstellung eine abspielbare MP4-Datei erzeugt und auf einen USB-Speicher exportiert wird (FA-08, FA-09).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Diese MP4 auf dem Studio-Fernseher als Endlosschleife wiedergegeben wird (Abschnitt 6).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 w:val="false"/>
          <w:bCs w:val="false"/>
        </w:rPr>
        <w:t xml:space="preserve">Die Bedienung ohne technische Vorkenntnisse möglich ist (NFA-01).</w:t>
      </w:r>
    </w:p>
    <w:p>
      <w:pPr>
        <w:pStyle w:val="Heading1"/>
        <w:pBdr>
          <w:bottom w:val="single" w:color="FF4040" w:sz="8" w:space="4"/>
        </w:pBdr>
      </w:pPr>
      <w:r>
        <w:t xml:space="preserve">12. Glossar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Digital Signage: </w:t>
      </w:r>
      <w:r>
        <w:t xml:space="preserve">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Aktions-Segment: </w:t>
      </w:r>
      <w:r>
        <w:t xml:space="preserve">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Rendering: </w:t>
      </w:r>
      <w:r>
        <w:t xml:space="preserve">Erzeugen der finalen Videodatei aus den zusammengestellten Einzelelementen.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Demo-/Store-Modus: </w:t>
      </w:r>
      <w:r>
        <w:t xml:space="preserve">Betriebsmodus des Fernsehers, der u. a. die automatische USB-Wiedergabe ermöglicht.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2E2" w:sz="4" w:space="6"/>
      </w:pBdr>
      <w:jc w:val="center"/>
    </w:pPr>
    <w:r>
      <w:rPr>
        <w:color w:val="8F8F8F"/>
        <w:sz w:val="18"/>
        <w:szCs w:val="18"/>
      </w:rPr>
      <w:t xml:space="preserve">Anforderungsdokument – Digital-Signage-Tool  ·  Seite </w:t>
    </w:r>
    <w:r>
      <w:rPr>
        <w:color w:val="8F8F8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df94c47af50f7913e654cf2e632c8f7730d42d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Anforderungsdokument – Digital-Signage-Tool</dc:title>
  <dc:creator>Baller Gruppe – Berufspraktikum</dc:creator>
  <cp:lastModifiedBy>Un-named</cp:lastModifiedBy>
  <cp:revision>1</cp:revision>
  <dcterms:created xsi:type="dcterms:W3CDTF">2026-06-30T09:54:02.575Z</dcterms:created>
  <dcterms:modified xsi:type="dcterms:W3CDTF">2026-06-30T09:54:02.575Z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