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20"/>
        <w:jc w:val="center"/>
      </w:pPr>
      <w:r>
        <w:drawing>
          <wp:inline distT="0" distB="0" distL="0" distR="0">
            <wp:extent cx="3048000" cy="876300"/>
            <wp:effectExtent t="0" r="0" b="0" l="0"/>
            <wp:docPr id="1" name="Bild" descr="Bild" title="Bil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0" cy="876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240"/>
        <w:jc w:val="center"/>
      </w:pPr>
      <w:r>
        <w:rPr>
          <w:rFonts w:ascii="Arial" w:cs="Arial" w:eastAsia="Arial" w:hAnsi="Arial"/>
          <w:b/>
          <w:bCs/>
          <w:color w:val="202020"/>
          <w:sz w:val="56"/>
          <w:szCs w:val="56"/>
        </w:rPr>
        <w:t xml:space="preserve">Anforderungsdokument – Digital-Signage-Tool</w:t>
      </w:r>
    </w:p>
    <w:p>
      <w:pPr>
        <w:pBdr>
          <w:bottom w:val="single" w:color="FF4040" w:sz="24" w:space="1"/>
        </w:pBdr>
        <w:spacing w:after="240"/>
      </w:pPr>
    </w:p>
    <w:p>
      <w:pPr>
        <w:spacing w:after="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Projekt:</w:t>
      </w:r>
      <w:r>
        <w:rPr>
          <w:rFonts w:ascii="Arial" w:cs="Arial" w:eastAsia="Arial" w:hAnsi="Arial"/>
          <w:sz w:val="20"/>
          <w:szCs w:val="20"/>
        </w:rPr>
        <w:t xml:space="preserve"> Digital-Signage-Tool für das Fitnessstudio der Baller Gruppe</w:t>
      </w:r>
    </w:p>
    <w:p>
      <w:pPr>
        <w:spacing w:after="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Auftraggeber:</w:t>
      </w:r>
      <w:r>
        <w:rPr>
          <w:rFonts w:ascii="Arial" w:cs="Arial" w:eastAsia="Arial" w:hAnsi="Arial"/>
          <w:sz w:val="20"/>
          <w:szCs w:val="20"/>
        </w:rPr>
        <w:t xml:space="preserve"> Baller Gruppe</w:t>
      </w:r>
    </w:p>
    <w:p>
      <w:pPr>
        <w:spacing w:after="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Bearbeitung:</w:t>
      </w:r>
      <w:r>
        <w:rPr>
          <w:rFonts w:ascii="Arial" w:cs="Arial" w:eastAsia="Arial" w:hAnsi="Arial"/>
          <w:sz w:val="20"/>
          <w:szCs w:val="20"/>
        </w:rPr>
        <w:t xml:space="preserve"> Niklas Rist, Berufspraktikum</w:t>
      </w:r>
    </w:p>
    <w:p>
      <w:pPr>
        <w:spacing w:after="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Datum:</w:t>
      </w:r>
      <w:r>
        <w:rPr>
          <w:rFonts w:ascii="Arial" w:cs="Arial" w:eastAsia="Arial" w:hAnsi="Arial"/>
          <w:sz w:val="20"/>
          <w:szCs w:val="20"/>
        </w:rPr>
        <w:t xml:space="preserve"> 15.10.2026</w:t>
      </w:r>
    </w:p>
    <w:p>
      <w:pPr>
        <w:spacing w:after="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Version:</w:t>
      </w:r>
      <w:r>
        <w:rPr>
          <w:rFonts w:ascii="Arial" w:cs="Arial" w:eastAsia="Arial" w:hAnsi="Arial"/>
          <w:sz w:val="20"/>
          <w:szCs w:val="20"/>
        </w:rPr>
        <w:t xml:space="preserve"> 1.7 (Ein Projekt – ein Video: genau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ein</w:t>
      </w:r>
      <w:r>
        <w:rPr>
          <w:rFonts w:ascii="Arial" w:cs="Arial" w:eastAsia="Arial" w:hAnsi="Arial"/>
          <w:sz w:val="20"/>
          <w:szCs w:val="20"/>
        </w:rPr>
        <w:t xml:space="preserve"> Video je Projekt, Import beim Anlegen und im Projekt-Editor, Ersetzen mit Bestätigung, automatische Übernahme in die Wiedergabeliste, s. 4.9)</w:t>
      </w:r>
    </w:p>
    <w:p>
      <w:pPr>
        <w:spacing w:after="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Status:</w:t>
      </w:r>
      <w:r>
        <w:rPr>
          <w:rFonts w:ascii="Arial" w:cs="Arial" w:eastAsia="Arial" w:hAnsi="Arial"/>
          <w:sz w:val="20"/>
          <w:szCs w:val="20"/>
        </w:rPr>
        <w:t xml:space="preserve"> In Abstimmung</w:t>
      </w:r>
    </w:p>
    <w:p>
      <w:r>
        <w:br w:type="page"/>
      </w:r>
    </w:p>
    <w:p>
      <w:pPr>
        <w:spacing w:after="160"/>
      </w:pPr>
      <w:r>
        <w:rPr>
          <w:rFonts w:ascii="Arial" w:cs="Arial" w:eastAsia="Arial" w:hAnsi="Arial"/>
          <w:b/>
          <w:bCs/>
          <w:color w:val="202020"/>
          <w:sz w:val="30"/>
          <w:szCs w:val="30"/>
        </w:rPr>
        <w:t xml:space="preserve">Inhaltsverzeichnis</w:t>
      </w:r>
    </w:p>
    <w:sdt>
      <w:sdtPr>
        <w:alias w:val="Inhaltsverzeichnis"/>
      </w:sdtPr>
      <w:sdtContent>
        <w:p>
          <w:pPr>
            <w:pStyle w:val="TOC1"/>
            <w:tabs>
              <w:tab w:val="right" w:pos="9026" w:leader="dot"/>
            </w:tabs>
          </w:pPr>
          <w:r>
            <w:fldChar w:fldCharType="begin" w:dirty="true"/>
            <w:instrText xml:space="preserve">TOC \h \o "1-2"</w:instrText>
            <w:fldChar w:fldCharType="separate"/>
          </w:r>
          <w:hyperlink w:history="1" w:anchor="_Toc1">
            <w:r>
              <w:t xml:space="preserve">1. Einleitung und Zielsetzung</w:t>
            </w:r>
            <w:r>
              <w:tab/>
            </w:r>
            <w:r>
              <w:fldChar w:fldCharType="begin" w:dirty="true"/>
              <w:instrText xml:space="preserve">PAGEREF _Toc1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2">
            <w:r>
              <w:t xml:space="preserve">2. Ausgangslage und Rahmenbedingungen</w:t>
            </w:r>
            <w:r>
              <w:tab/>
            </w:r>
            <w:r>
              <w:fldChar w:fldCharType="begin" w:dirty="true"/>
              <w:instrText xml:space="preserve">PAGEREF _Toc2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3">
            <w:r>
              <w:t xml:space="preserve">2.1 Fachlicher Kontext</w:t>
            </w:r>
            <w:r>
              <w:tab/>
            </w:r>
            <w:r>
              <w:fldChar w:fldCharType="begin" w:dirty="true"/>
              <w:instrText xml:space="preserve">PAGEREF _Toc3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4">
            <w:r>
              <w:t xml:space="preserve">2.2 Hardware-Umgebung (Wiedergabegerät)</w:t>
            </w:r>
            <w:r>
              <w:tab/>
            </w:r>
            <w:r>
              <w:fldChar w:fldCharType="begin" w:dirty="true"/>
              <w:instrText xml:space="preserve">PAGEREF _Toc4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5">
            <w:r>
              <w:t xml:space="preserve">2.3 Organisatorische Rahmenbedingungen</w:t>
            </w:r>
            <w:r>
              <w:tab/>
            </w:r>
            <w:r>
              <w:fldChar w:fldCharType="begin" w:dirty="true"/>
              <w:instrText xml:space="preserve">PAGEREF _Toc5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6">
            <w:r>
              <w:t xml:space="preserve">3. Systemüberblick / Lösungskonzept</w:t>
            </w:r>
            <w:r>
              <w:tab/>
            </w:r>
            <w:r>
              <w:fldChar w:fldCharType="begin" w:dirty="true"/>
              <w:instrText xml:space="preserve">PAGEREF _Toc6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7">
            <w:r>
              <w:t xml:space="preserve">4. Funktionale Anforderungen</w:t>
            </w:r>
            <w:r>
              <w:tab/>
            </w:r>
            <w:r>
              <w:fldChar w:fldCharType="begin" w:dirty="true"/>
              <w:instrText xml:space="preserve">PAGEREF _Toc7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8">
            <w:r>
              <w:t xml:space="preserve">4.1 Gestaltung der Aktions-Segmente (Corporate Design)</w:t>
            </w:r>
            <w:r>
              <w:tab/>
            </w:r>
            <w:r>
              <w:fldChar w:fldCharType="begin" w:dirty="true"/>
              <w:instrText xml:space="preserve">PAGEREF _Toc8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9">
            <w:r>
              <w:t xml:space="preserve">4.2 Design-Tokens / Style-Guide</w:t>
            </w:r>
            <w:r>
              <w:tab/>
            </w:r>
            <w:r>
              <w:fldChar w:fldCharType="begin" w:dirty="true"/>
              <w:instrText xml:space="preserve">PAGEREF _Toc9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10">
            <w:r>
              <w:t xml:space="preserve">4.3 Prozessverwaltung (Auftrags-Queue)</w:t>
            </w:r>
            <w:r>
              <w:tab/>
            </w:r>
            <w:r>
              <w:fldChar w:fldCharType="begin" w:dirty="true"/>
              <w:instrText xml:space="preserve">PAGEREF _Toc10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11">
            <w:r>
              <w:t xml:space="preserve">4.4 Dauer und Trim – einheitliche Bedienung</w:t>
            </w:r>
            <w:r>
              <w:tab/>
            </w:r>
            <w:r>
              <w:fldChar w:fldCharType="begin" w:dirty="true"/>
              <w:instrText xml:space="preserve">PAGEREF _Toc11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12">
            <w:r>
              <w:t xml:space="preserve">4.5 Betriebsarten für Werbeinhalte (FA-20) — Split-Screen ist die Hauptbetriebsart</w:t>
            </w:r>
            <w:r>
              <w:tab/>
            </w:r>
            <w:r>
              <w:fldChar w:fldCharType="begin" w:dirty="true"/>
              <w:instrText xml:space="preserve">PAGEREF _Toc12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13">
            <w:r>
              <w:t xml:space="preserve">4.6 Vorlagen bearbeiten: Arbeitskopie und explizites Speichern (FA-13)</w:t>
            </w:r>
            <w:r>
              <w:tab/>
            </w:r>
            <w:r>
              <w:fldChar w:fldCharType="begin" w:dirty="true"/>
              <w:instrText xml:space="preserve">PAGEREF _Toc13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14">
            <w:r>
              <w:t xml:space="preserve">4.7 Ausgabedateien: Benennung, Ersetzen, Export (FA-22)</w:t>
            </w:r>
            <w:r>
              <w:tab/>
            </w:r>
            <w:r>
              <w:fldChar w:fldCharType="begin" w:dirty="true"/>
              <w:instrText xml:space="preserve">PAGEREF _Toc14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15">
            <w:r>
              <w:t xml:space="preserve">4.8 Marken: Bestand, Ableitung, Zuweisung (FA-23, FA-24)</w:t>
            </w:r>
            <w:r>
              <w:tab/>
            </w:r>
            <w:r>
              <w:fldChar w:fldCharType="begin" w:dirty="true"/>
              <w:instrText xml:space="preserve">PAGEREF _Toc15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16">
            <w:r>
              <w:t xml:space="preserve">4.9 Ein Projekt – ein Video (FA-01)</w:t>
            </w:r>
            <w:r>
              <w:tab/>
            </w:r>
            <w:r>
              <w:fldChar w:fldCharType="begin" w:dirty="true"/>
              <w:instrText xml:space="preserve">PAGEREF _Toc16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17">
            <w:r>
              <w:t xml:space="preserve">5. Nicht-funktionale Anforderungen</w:t>
            </w:r>
            <w:r>
              <w:tab/>
            </w:r>
            <w:r>
              <w:fldChar w:fldCharType="begin" w:dirty="true"/>
              <w:instrText xml:space="preserve">PAGEREF _Toc17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18">
            <w:r>
              <w:t xml:space="preserve">6. Technische Rahmenbedingungen (Vorschlag)</w:t>
            </w:r>
            <w:r>
              <w:tab/>
            </w:r>
            <w:r>
              <w:fldChar w:fldCharType="begin" w:dirty="true"/>
              <w:instrText xml:space="preserve">PAGEREF _Toc18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19">
            <w:r>
              <w:t xml:space="preserve">7. Wiedergabe am Fernseher (Demo-Modus)</w:t>
            </w:r>
            <w:r>
              <w:tab/>
            </w:r>
            <w:r>
              <w:fldChar w:fldCharType="begin" w:dirty="true"/>
              <w:instrText xml:space="preserve">PAGEREF _Toc19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20">
            <w:r>
              <w:t xml:space="preserve">8. Abgrenzung (Out of Scope)</w:t>
            </w:r>
            <w:r>
              <w:tab/>
            </w:r>
            <w:r>
              <w:fldChar w:fldCharType="begin" w:dirty="true"/>
              <w:instrText xml:space="preserve">PAGEREF _Toc20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21">
            <w:r>
              <w:t xml:space="preserve">9. Annahmen</w:t>
            </w:r>
            <w:r>
              <w:tab/>
            </w:r>
            <w:r>
              <w:fldChar w:fldCharType="begin" w:dirty="true"/>
              <w:instrText xml:space="preserve">PAGEREF _Toc21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22">
            <w:r>
              <w:t xml:space="preserve">10. Risiken und offene Punkte</w:t>
            </w:r>
            <w:r>
              <w:tab/>
            </w:r>
            <w:r>
              <w:fldChar w:fldCharType="begin" w:dirty="true"/>
              <w:instrText xml:space="preserve">PAGEREF _Toc22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23">
            <w:r>
              <w:t xml:space="preserve">11. Ausbaustufen (Roadmap, optional)</w:t>
            </w:r>
            <w:r>
              <w:tab/>
            </w:r>
            <w:r>
              <w:fldChar w:fldCharType="begin" w:dirty="true"/>
              <w:instrText xml:space="preserve">PAGEREF _Toc23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24">
            <w:r>
              <w:t xml:space="preserve">12. Akzeptanzkriterien</w:t>
            </w:r>
            <w:r>
              <w:tab/>
            </w:r>
            <w:r>
              <w:fldChar w:fldCharType="begin" w:dirty="true"/>
              <w:instrText xml:space="preserve">PAGEREF _Toc24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25">
            <w:r>
              <w:t xml:space="preserve">13. Glossar</w:t>
            </w:r>
            <w:r>
              <w:tab/>
            </w:r>
            <w:r>
              <w:fldChar w:fldCharType="begin" w:dirty="true"/>
              <w:instrText xml:space="preserve">PAGEREF _Toc25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bookmarkStart w:name="_Toc1" w:id="1"/>
      <w:r>
        <w:rPr>
          <w:rFonts w:ascii="Arial" w:cs="Arial" w:eastAsia="Arial" w:hAnsi="Arial"/>
          <w:sz w:val="20"/>
          <w:szCs w:val="20"/>
        </w:rPr>
        <w:t xml:space="preserve">1. Einleitung und Zielsetzung</w:t>
      </w:r>
      <w:bookmarkEnd w:id="1"/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Im Rahmen des Berufspraktikums bei der Baller Gruppe wird ein Digital-Signage-Tool für das Fitnessstudio der Gruppe konzipiert und entwickelt. Ziel ist eine moderne, flexibel einsetzbare Softwarelösung, mit der Produktwerbung, studiointerne Angebote und sportbezogene Videoinhalte zentral verwaltet und auf dem Studio-Bildschirm professionell ausgespielt werden können.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Der Kern des Werkzeugs ist eine intern genutzte Anwendung, mit der Mitarbeitende verschiedene Medieninhalte (Videos sowie Produkte/Aktionen) strukturiert pflegen, in eine gewünschte Reihenfolge bringen und daraus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ein einziges, fertiges Ausgabevideo</w:t>
      </w:r>
      <w:r>
        <w:rPr>
          <w:rFonts w:ascii="Arial" w:cs="Arial" w:eastAsia="Arial" w:hAnsi="Arial"/>
          <w:sz w:val="20"/>
          <w:szCs w:val="20"/>
        </w:rPr>
        <w:t xml:space="preserve"> erzeugen. Dieses Video wird auf einem USB-Speicher abgelegt und am Studio-Fernseher als Endlosschleife wiedergegeben.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Im Fokus stehen eine intuitive Bedienbarkeit, eine stabile Systemstruktur sowie eine flexible und visuell ansprechende Ausspielung der Inhalte im Studioalltag.</w:t>
      </w:r>
    </w:p>
    <w:p>
      <w:pPr>
        <w:pStyle w:val="Heading1"/>
      </w:pPr>
      <w:bookmarkStart w:name="_Toc2" w:id="2"/>
      <w:r>
        <w:rPr>
          <w:rFonts w:ascii="Arial" w:cs="Arial" w:eastAsia="Arial" w:hAnsi="Arial"/>
          <w:sz w:val="20"/>
          <w:szCs w:val="20"/>
        </w:rPr>
        <w:t xml:space="preserve">2. Ausgangslage und Rahmenbedingungen</w:t>
      </w:r>
      <w:bookmarkEnd w:id="2"/>
    </w:p>
    <w:p>
      <w:pPr>
        <w:pStyle w:val="Heading2"/>
      </w:pPr>
      <w:bookmarkStart w:name="_Toc3" w:id="3"/>
      <w:r>
        <w:rPr>
          <w:rFonts w:ascii="Arial" w:cs="Arial" w:eastAsia="Arial" w:hAnsi="Arial"/>
          <w:sz w:val="20"/>
          <w:szCs w:val="20"/>
        </w:rPr>
        <w:t xml:space="preserve">2.1 Fachlicher Kontext</w:t>
      </w:r>
      <w:bookmarkEnd w:id="3"/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Anzuzeigen sind drei Arten von Inhalten: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Produktwerbung</w:t>
      </w:r>
      <w:r>
        <w:rPr>
          <w:rFonts w:ascii="Arial" w:cs="Arial" w:eastAsia="Arial" w:hAnsi="Arial"/>
          <w:sz w:val="20"/>
          <w:szCs w:val="20"/>
        </w:rPr>
        <w:t xml:space="preserve"> – beworbene Produkte des Studios bzw. der Gruppe.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Studiointerne Angebote / Aktionen</w:t>
      </w:r>
      <w:r>
        <w:rPr>
          <w:rFonts w:ascii="Arial" w:cs="Arial" w:eastAsia="Arial" w:hAnsi="Arial"/>
          <w:sz w:val="20"/>
          <w:szCs w:val="20"/>
        </w:rPr>
        <w:t xml:space="preserve"> – zeitlich begrenzte Aktionen, Hinweise, Informationen.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Sportbezogene Videoinhalte</w:t>
      </w:r>
      <w:r>
        <w:rPr>
          <w:rFonts w:ascii="Arial" w:cs="Arial" w:eastAsia="Arial" w:hAnsi="Arial"/>
          <w:sz w:val="20"/>
          <w:szCs w:val="20"/>
        </w:rPr>
        <w:t xml:space="preserve"> – bestehende Videoclips (z. B. Übungen, Imagevideos).</w:t>
      </w:r>
    </w:p>
    <w:p>
      <w:pPr>
        <w:pStyle w:val="Heading2"/>
      </w:pPr>
      <w:bookmarkStart w:name="_Toc4" w:id="4"/>
      <w:r>
        <w:rPr>
          <w:rFonts w:ascii="Arial" w:cs="Arial" w:eastAsia="Arial" w:hAnsi="Arial"/>
          <w:sz w:val="20"/>
          <w:szCs w:val="20"/>
        </w:rPr>
        <w:t xml:space="preserve">2.2 Hardware-Umgebung (Wiedergabegerät)</w:t>
      </w:r>
      <w:bookmarkEnd w:id="4"/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Die Wiedergabe erfolgt auf einem vorhandenen Consumer-Fernseher. Es steht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keine</w:t>
      </w:r>
      <w:r>
        <w:rPr>
          <w:rFonts w:ascii="Arial" w:cs="Arial" w:eastAsia="Arial" w:hAnsi="Arial"/>
          <w:sz w:val="20"/>
          <w:szCs w:val="20"/>
        </w:rPr>
        <w:t xml:space="preserve"> zusätzliche Abspiel-Hardware (z. B. Mediaplayer, Mini-PC) zur Verfügung. Die Inhalte werden über einen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USB-Speicher</w:t>
      </w:r>
      <w:r>
        <w:rPr>
          <w:rFonts w:ascii="Arial" w:cs="Arial" w:eastAsia="Arial" w:hAnsi="Arial"/>
          <w:sz w:val="20"/>
          <w:szCs w:val="20"/>
        </w:rPr>
        <w:t xml:space="preserve"> bereitgestellt und über den integrierten Media Player des Fernsehers im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Demo-/Store-Modus</w:t>
      </w:r>
      <w:r>
        <w:rPr>
          <w:rFonts w:ascii="Arial" w:cs="Arial" w:eastAsia="Arial" w:hAnsi="Arial"/>
          <w:sz w:val="20"/>
          <w:szCs w:val="20"/>
        </w:rPr>
        <w:t xml:space="preserve"> als Schleife abgespielt.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0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Merkmal | Wert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Modell (MN) | UE85AU7170UXXN (85", 4K UHD, Tizen)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Seriennummer (SN) | 0EAS3SUT800009L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Firmware (FW) | T-KSU2EDEUC-2111.1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Firmware-Paket (FC) | SWU-OU_T-KSU2EDEUC_2111_221104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Modell-ID (MI) | T-KSU2EDEUC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Region (LS) | EU_BENELUX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Geräte-ID (DI) | MTCAXEUHRAU3G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MAC-Adresse (MA) | 04:B9:E3:F6:E4:80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Empfohlene Ausgabeauflösung | 3840 × 2160 (4K) bzw. 1920 × 1080 als Fallback</w:t>
            </w:r>
          </w:p>
        </w:tc>
      </w:tr>
    </w:tbl>
    <w:p>
      <w:pPr>
        <w:spacing w:after="80"/>
      </w:pPr>
    </w:p>
    <w:p>
      <w:pPr>
        <w:pStyle w:val="Heading2"/>
      </w:pPr>
      <w:bookmarkStart w:name="_Toc5" w:id="5"/>
      <w:r>
        <w:rPr>
          <w:rFonts w:ascii="Arial" w:cs="Arial" w:eastAsia="Arial" w:hAnsi="Arial"/>
          <w:sz w:val="20"/>
          <w:szCs w:val="20"/>
        </w:rPr>
        <w:t xml:space="preserve">2.3 Organisatorische Rahmenbedingungen</w:t>
      </w:r>
      <w:bookmarkEnd w:id="5"/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Die Anwendung wird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intern</w:t>
      </w:r>
      <w:r>
        <w:rPr>
          <w:rFonts w:ascii="Arial" w:cs="Arial" w:eastAsia="Arial" w:hAnsi="Arial"/>
          <w:sz w:val="20"/>
          <w:szCs w:val="20"/>
        </w:rPr>
        <w:t xml:space="preserve"> genutzt; es wird maximal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ein Nutzer gleichzeitig</w:t>
      </w:r>
      <w:r>
        <w:rPr>
          <w:rFonts w:ascii="Arial" w:cs="Arial" w:eastAsia="Arial" w:hAnsi="Arial"/>
          <w:sz w:val="20"/>
          <w:szCs w:val="20"/>
        </w:rPr>
        <w:t xml:space="preserve"> mit dem Tool arbeiten.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Es ist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keine Netzwerk- oder Cloud-Anbindung</w:t>
      </w:r>
      <w:r>
        <w:rPr>
          <w:rFonts w:ascii="Arial" w:cs="Arial" w:eastAsia="Arial" w:hAnsi="Arial"/>
          <w:sz w:val="20"/>
          <w:szCs w:val="20"/>
        </w:rPr>
        <w:t xml:space="preserve"> erforderlich; das Tool arbeitet lokal/offline.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Die Anwendung läuft auf einem Arbeitsplatzrechner (Laptop),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nicht</w:t>
      </w:r>
      <w:r>
        <w:rPr>
          <w:rFonts w:ascii="Arial" w:cs="Arial" w:eastAsia="Arial" w:hAnsi="Arial"/>
          <w:sz w:val="20"/>
          <w:szCs w:val="20"/>
        </w:rPr>
        <w:t xml:space="preserve"> auf dem Fernseher.</w:t>
      </w:r>
    </w:p>
    <w:p>
      <w:pPr>
        <w:pStyle w:val="Heading1"/>
      </w:pPr>
      <w:bookmarkStart w:name="_Toc6" w:id="6"/>
      <w:r>
        <w:rPr>
          <w:rFonts w:ascii="Arial" w:cs="Arial" w:eastAsia="Arial" w:hAnsi="Arial"/>
          <w:sz w:val="20"/>
          <w:szCs w:val="20"/>
        </w:rPr>
        <w:t xml:space="preserve">3. Systemüberblick / Lösungskonzept</w:t>
      </w:r>
      <w:bookmarkEnd w:id="6"/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Das System ist bewusst zweigeteilt, um die Einschränkungen des Consumer-Fernsehers zu umgehen: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Management- und Render-Tool (auf dem Laptop):</w:t>
      </w:r>
      <w:r>
        <w:rPr>
          <w:rFonts w:ascii="Arial" w:cs="Arial" w:eastAsia="Arial" w:hAnsi="Arial"/>
          <w:sz w:val="20"/>
          <w:szCs w:val="20"/>
        </w:rPr>
        <w:t xml:space="preserve"> Verwaltung von Videos und Produkten/Aktionen, Festlegung der Reihenfolge, Rendering zu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einer durchgehenden MP4-Datei je Lauf</w:t>
      </w:r>
      <w:r>
        <w:rPr>
          <w:rFonts w:ascii="Arial" w:cs="Arial" w:eastAsia="Arial" w:hAnsi="Arial"/>
          <w:sz w:val="20"/>
          <w:szCs w:val="20"/>
        </w:rPr>
        <w:t xml:space="preserve">, Ablage auf USB. Ein Projekt kann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mehrere solche Ausgabedateien</w:t>
      </w:r>
      <w:r>
        <w:rPr>
          <w:rFonts w:ascii="Arial" w:cs="Arial" w:eastAsia="Arial" w:hAnsi="Arial"/>
          <w:sz w:val="20"/>
          <w:szCs w:val="20"/>
        </w:rPr>
        <w:t xml:space="preserve"> unter frei gewählten Namen vorhalten (FA-22, Abschnitt 4.7).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Wiedergabe (am Fernseher):</w:t>
      </w:r>
      <w:r>
        <w:rPr>
          <w:rFonts w:ascii="Arial" w:cs="Arial" w:eastAsia="Arial" w:hAnsi="Arial"/>
          <w:sz w:val="20"/>
          <w:szCs w:val="20"/>
        </w:rPr>
        <w:t xml:space="preserve"> Der Fernseher gibt die fertige MP4 vom USB-Speicher im Demo-/Store-Modus als Endlosschleife aus.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[Laptop: Management- &amp; Render-Tool]  --rendert--&gt;  [benannte MP4]  --kopiert--&gt;  [USB-Stick]  --steckt in--&gt;  [TV: Datei wählen, Endlosschleife]</w:t>
      </w:r>
    </w:p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Begründung der Entkopplung:</w:t>
      </w:r>
      <w:r>
        <w:rPr>
          <w:rFonts w:ascii="Arial" w:cs="Arial" w:eastAsia="Arial" w:hAnsi="Arial"/>
          <w:sz w:val="20"/>
          <w:szCs w:val="20"/>
        </w:rPr>
        <w:t xml:space="preserve"> Eine eigene App direkt auf dem Fernseher ist für den Dauerbetrieb ungeeignet, da Consumer-Geräte sideloadete Apps nicht automatisch beim Booten starten, sich nach Abstürzen nicht selbst wiederherstellen und durch Firmware-Updates oder ablaufende Zertifikate ausfallen können. Die gewählte Lösung verlagert die gesamte Software auf den Laptop und nutzt am Fernseher nur die robuste, eingebaute USB-Wiedergabe.</w:t>
      </w:r>
    </w:p>
    <w:p>
      <w:pPr>
        <w:pStyle w:val="Heading1"/>
      </w:pPr>
      <w:bookmarkStart w:name="_Toc7" w:id="7"/>
      <w:r>
        <w:rPr>
          <w:rFonts w:ascii="Arial" w:cs="Arial" w:eastAsia="Arial" w:hAnsi="Arial"/>
          <w:sz w:val="20"/>
          <w:szCs w:val="20"/>
        </w:rPr>
        <w:t xml:space="preserve">4. Funktionale Anforderungen</w:t>
      </w:r>
      <w:bookmarkEnd w:id="7"/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Priorität nach MoSCoW: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Muss</w:t>
      </w:r>
      <w:r>
        <w:rPr>
          <w:rFonts w:ascii="Arial" w:cs="Arial" w:eastAsia="Arial" w:hAnsi="Arial"/>
          <w:sz w:val="20"/>
          <w:szCs w:val="20"/>
        </w:rPr>
        <w:t xml:space="preserve"> (zwingend),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Soll</w:t>
      </w:r>
      <w:r>
        <w:rPr>
          <w:rFonts w:ascii="Arial" w:cs="Arial" w:eastAsia="Arial" w:hAnsi="Arial"/>
          <w:sz w:val="20"/>
          <w:szCs w:val="20"/>
        </w:rPr>
        <w:t xml:space="preserve"> (wichtig),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Kann</w:t>
      </w:r>
      <w:r>
        <w:rPr>
          <w:rFonts w:ascii="Arial" w:cs="Arial" w:eastAsia="Arial" w:hAnsi="Arial"/>
          <w:sz w:val="20"/>
          <w:szCs w:val="20"/>
        </w:rPr>
        <w:t xml:space="preserve"> (optional).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0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ID | Anforderung | Beschreibung | Priorität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FA-01 | Video importieren | Ein Projekt enthält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genau ein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Video (mind. MP4). Es wird beim Anlegen des Projekts oder im Projekt-Editor importiert und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automatisch ans Ende der Wiedergabeliste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gestellt; ein erneuter Import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ersetzt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es nach Bestätigung. Details: 4.9. | Muss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FA-02 | Produkt/Aktion anlegen | Produkte bzw. Aktionen können neu angelegt werden (Felder z. B.: Titel, Beschreibung/Text, optional Preis, optional Bild, Anzeigedauer). | Muss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FA-03 | Inhalte bearbeiten/löschen | Das importierte Video sowie Produkte/Aktionen können bearbeitet und entfernt werden; das Video wird über einen erneuten Import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ersetzt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(4.9). | Muss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FA-04 | Aktions-Segment erzeugen | Aus einem Produkt/einer Aktion (Text + optional Bild) wird ein anzeigbares Video-/Bildsegment mit definierter Anzeigedauer erzeugt. | Muss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FA-05 | Reihenfolge festlegen | Das Video und die Aktions-Segmente können zu einer Wiedergabeliste zusammengestellt und in der Reihenfolge angeordnet werden (z. B. per Drag-and-drop). | Muss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FA-06 | Anzeigedauer steuern | Je Aktions-Segment ist eine individuelle Anzeigedauer einstellbar; die Bedienung erfolgt über einen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einheitlichen Dauer-/Trim-Regler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– Kürzen </w:t>
            </w:r>
            <w:r>
              <w:rPr>
                <w:rFonts w:ascii="Arial" w:cs="Arial" w:eastAsia="Arial" w:hAnsi="Arial"/>
                <w:i/>
                <w:iCs/>
                <w:sz w:val="20"/>
                <w:szCs w:val="20"/>
              </w:rPr>
              <w:t xml:space="preserve">und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Verlängern per Griff, s. 4.4. Der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Startwert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kommt aus einer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projektweiten Standarddauer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die je Aktion überschreibbar ist (s. 4.4). | Soll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FA-07 | Vorschau | Die zusammengestellte Sequenz kann vor dem Rendern in der Anwendung vorab betrachtet werden. | Soll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FA-08 | Ausgabe-Rendering | Aus der Wiedergabeliste wird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je Lauf eine einzige, durchgehende MP4-Datei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in definierter Auflösung und Codierung erzeugt (Verkettung aller Segmente). Dass es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eine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Datei ist, ist wesentlich: nur so läuft die Schleife am Fernseher ohne sichtbaren Übergang (Risiko R-04). | Muss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FA-09 | Export auf USB | Eine gewählte Ausgabedatei kann in einen Zielordner bzw. direkt auf den USB-Speicher exportiert werden –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unter ihrem eigenen Namen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. Auf dem Speicher dürfen mehrere Ausgabedateien nebeneinander liegen. | Muss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FA-10 | Projektverwaltung | Projekte werden in einer Übersicht geführt (Name, Erstell-/Änderungsdatum, Speicherort) und können angelegt, geöffnet, dupliziert und gelöscht werden – um Inhalte effizient zu aktualisieren statt neu anzulegen. Das Sichern selbst erfolgt automatisch (FA-15). | Soll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FA-11 | Einheitliches Grundlayout | Aktions-Segmente verwenden ein einheitliches Grundlayout im Corporate Design der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zugewiesenen Marke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(Logo, Farbwelt, Typografie).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Eingebauter Standard ist Fitnessworld24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abgeleitet aus dem Markenauftritt der Website fitnessworld24.li; weitere Marken sind möglich (FA-23). | Soll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FA-12 | Gestalterischer Spielraum | Innerhalb des Grundlayouts sind definierte Bereiche frei gestaltbar (z. B. Überschrift, Motiv-/Produktbild, Preis bzw. Call-to-Action, Akzentfarbe), damit jede Werbung individuell und wirkungsvoll gestaltet werden kann. | Soll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FA-13 | Vorlagen erstellen &amp; bearbeiten | Über die eingebauten Vorlagen hinaus können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eigene Vorlagen angelegt und bearbeitet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werden –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bereits im Prototyp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. Dabei wird die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Art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der Vorlage gewählt: vollflächiges Segment,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Split-Screen-Band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oder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Einblendung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(s. 4.5). Eine eigene Vorlage arrangiert nur die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freien Zonen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(Position/Größe/Feldzuordnung) innerhalb des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festen Markenrahmens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(Logo, Sicherheitsabstände), der nicht abschaltbar ist. Datengetrieben – eine eigene Vorlage ist nur ein neuer Datensatz, kein Code-Umbau. | Muss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FA-14 | Video trimmen | Ein Video-Element kann am Anfang und Ende beschnitten werden (Trim-Start/-Ende); nur der gewählte Ausschnitt wird wiedergegeben und gerendert.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Nicht-destruktiv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– die Originaldatei bleibt unverändert; der Trim liegt am Listenelement. Bedienung über denselben Dauer-/Trim-Regler wie FA-06 (s. 4.4). | Soll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FA-15 | Automatisches Speichern &amp; Sitzung | Änderungen (Liste, Reihenfolge, Trim, Aktionen) werden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fortlaufend automatisch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gesichert –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kein manuelles Speichern, kein Datenverlust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(Rückgrat von NFA-02). Beim Start öffnet die App automatisch das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zuletzt aktive Projekt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und stellt letztes Export-Ziel und UI-Voreinstellungen wieder her. | Soll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FA-16 | Prozessübersicht (Auftrags-Queue) | Länger laufende oder dateiverändernde Vorgänge (Medien-Import, Löschen von Medien, finaler Render, USB-Export) werden als Aufträge in einer sichtbaren Warteschlange geführt; erkennbar ist jederzeit, welcher Auftrag läuft, welche anstehen und welche fehlgeschlagen sind. | Muss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FA-17 | Fehlgeschlagene Vorgänge wiederholen | Ein fehlgeschlagener Auftrag bleibt mit Fehlergrund sichtbar und kann erneut ausgeführt werden; er wird dabei ans Ende der Warteschlange gestellt. | Muss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FA-18 | Vorgänge abbrechen/entfernen | Ein noch nicht gestarteter Auftrag kann aus der Warteschlange entfernt, ein laufender Render abgebrochen werden. | Soll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FA-19 | Geführte Reparatur kaputter Elemente | Verweisen Elemente auf ein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fehlendes Medium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(z. B. extern gelöschte Datei), führt die Anwendung den Nutzer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vor dem Rendern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aktiv durch die Reparatur: kaputte Elemente werden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nacheinander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hervorgehoben („X von N behoben") und können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neu verknüpft/importiert, ersetzt oder entfernt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werden; der Render wird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erst freigegeben, wenn alle behoben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sind. Betrifft auch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Aktions-Bilder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– fehlt das Bild einer Aktion, wird die Aktion repariert, was in einem Schritt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alle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Listenelemente behebt, die diese Aktion verwenden. | Soll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FA-20 | Parallele Anzeige (Split-Screen / Einblendung) —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Hauptbetriebsart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Werbeinhalte laufen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parallel während eines Videos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: entweder als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Split-Screen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(Video oben verkleinert, Werbeband darunter, nichts verdeckt) oder als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Einblendung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(Video vollflächig, Band überlagernd). Während eines Videos können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mehrere Aktionen nacheinander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im Band rotieren. Eine Aktion kann das laufende Video auch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kurz unterbrechen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(Video pausiert, Aktion, Video läuft weiter). Die sequenzielle Werbepause (FA-04) bleibt zusätzlich möglich. Details: 4.5. | Muss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FA-21 | Rückgängig / Wiederherstellen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Beide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Editoren – Projekt-Bearbeitung und Vorlagen-Editor – bieten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Undo/Redo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für Bearbeitungsschritte (Liste, Reihenfolge, Trim, Dauer, Aktionen, Zonen).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Nicht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rückgängig machbar sind abgeschlossene Vorgänge mit Dateiwirkung (Import, Löschen von Medien, Render, Export) – ein gelöschtes Medium muss neu importiert werden. | Muss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FA-22 | Mehrere benannte Ausgabedateien | Ein Projekt kann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mehrere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gerenderte MP4-Dateien vorhalten. Beim Speichern eines Renders vergibt der Nutzer den Dateinamen; vorbelegt ist der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zuletzt verwendete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Name, sodass wiederholtes Rendern die vorige Fassung standardmäßig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ersetzt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und der Ordner nicht zuläuft. Ein abweichender Name legt eine zusätzliche Datei an. Datum und Uhrzeit stehen in der Ausgabe-Liste der Anwendung,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nicht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im Dateinamen. | Muss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FA-23 | Marken-Bestand | Die Anwendung führt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mehrere Marken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in einem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app-weiten, projektunabhängigen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Bestand. Ein Projekt darf mehrere Marken verwenden; eine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Aktion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trägt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genau eine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. Eine Marke kann von einer anderen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abgeleitet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sein und einzelne Werte überschreiben (Saison- oder Kampagnen-Look). Die Fitnessworld24-Marke ist immer vorhanden und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nicht löschbar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. Jedes Projekt führt zusätzlich eine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Standardmarke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die den Rahmen färbt (Band-Hintergrund, Restflächen; s. 4.8); sie ist in der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Projektverwaltung wechselbar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. Eine Marke lässt sich nur löschen, wenn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keine Aktion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keine abgeleitete Marke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und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kein Projekt als Standardmarke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sie mehr nutzt. | Muss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FA-24 | Marken-Editor | Marken lassen sich in der Anwendung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anlegen, bearbeiten und ableiten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: Farben, Slogan, Sicherheitsabstände sowie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Import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von Logo und Schriftdateien. Bei zu geringem Kontrast zwischen Akzentfläche und darauf liegendem Text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warnt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die Anwendung sichtbar, verhindert die Wahl aber nicht. | Muss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Ein Bild ist kein Listenelement (ab v1.5).</w:t>
      </w:r>
      <w:r>
        <w:rPr>
          <w:rFonts w:ascii="Arial" w:cs="Arial" w:eastAsia="Arial" w:hAnsi="Arial"/>
          <w:sz w:val="20"/>
          <w:szCs w:val="20"/>
        </w:rPr>
        <w:t xml:space="preserve"> Eine Wiedergabeliste besteht aus genau zwei Arten von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Elementen: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Videos</w:t>
      </w:r>
      <w:r>
        <w:rPr>
          <w:rFonts w:ascii="Arial" w:cs="Arial" w:eastAsia="Arial" w:hAnsi="Arial"/>
          <w:sz w:val="20"/>
          <w:szCs w:val="20"/>
        </w:rPr>
        <w:t xml:space="preserve"> und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Aktions-Segmente</w:t>
      </w:r>
      <w:r>
        <w:rPr>
          <w:rFonts w:ascii="Arial" w:cs="Arial" w:eastAsia="Arial" w:hAnsi="Arial"/>
          <w:sz w:val="20"/>
          <w:szCs w:val="20"/>
        </w:rPr>
        <w:t xml:space="preserve">. Ein fertig gestaltetes Bild von außen direkt in die Liste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zu legen, ist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</w:t>
      </w:r>
      <w:r>
        <w:rPr>
          <w:rFonts w:ascii="Arial" w:cs="Arial" w:eastAsia="Arial" w:hAnsi="Arial"/>
          <w:sz w:val="20"/>
          <w:szCs w:val="20"/>
        </w:rPr>
        <w:t xml:space="preserve"> Anwendungsfall – alle angezeigten Inhalte entstehen über den Aktions-Editor, damit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sie den Markenrahmen tragen (FA-11) und über Vorlagen gestaltbar bleiben (FA-12, FA-13). Ein Bild, das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ohne diesen Weg auf den Schirm käme, wäre der einzige Inhalt im ganzen System ohne Logo,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Sicherheitsabstand und Markenfarbwelt.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Nicht betroffen ist der Bild-Import.</w:t>
      </w:r>
      <w:r>
        <w:rPr>
          <w:rFonts w:ascii="Arial" w:cs="Arial" w:eastAsia="Arial" w:hAnsi="Arial"/>
          <w:sz w:val="20"/>
          <w:szCs w:val="20"/>
        </w:rPr>
        <w:t xml:space="preserve"> Bilder werden weiterhin importiert, verwaltet und gelöscht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(FA-01, FA-03); sie sind das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Motiv</w:t>
      </w:r>
      <w:r>
        <w:rPr>
          <w:rFonts w:ascii="Arial" w:cs="Arial" w:eastAsia="Arial" w:hAnsi="Arial"/>
          <w:sz w:val="20"/>
          <w:szCs w:val="20"/>
        </w:rPr>
        <w:t xml:space="preserve"> einer Aktion (FA-02, FA-12). Weggefallen ist ausschließlich der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Weg „Bild direkt in die Wiedergabeliste".</w:t>
      </w:r>
    </w:p>
    <w:p>
      <w:pPr>
        <w:pStyle w:val="Heading2"/>
      </w:pPr>
      <w:bookmarkStart w:name="_Toc8" w:id="8"/>
      <w:r>
        <w:rPr>
          <w:rFonts w:ascii="Arial" w:cs="Arial" w:eastAsia="Arial" w:hAnsi="Arial"/>
          <w:sz w:val="20"/>
          <w:szCs w:val="20"/>
        </w:rPr>
        <w:t xml:space="preserve">4.1 Gestaltung der Aktions-Segmente (Corporate Design)</w:t>
      </w:r>
      <w:bookmarkEnd w:id="8"/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Aktions-Segmente folgen dem Markenauftritt von Fitnessworld24 (24/7-Fitnessstudio, Weißensberg/Lindau am Bodensee). Gestalterische Grundlage ist die Website fitnessworld24.li. Ziel ist eine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Balance aus Wiedererkennbarkeit und Werbewirkung</w:t>
      </w:r>
      <w:r>
        <w:rPr>
          <w:rFonts w:ascii="Arial" w:cs="Arial" w:eastAsia="Arial" w:hAnsi="Arial"/>
          <w:sz w:val="20"/>
          <w:szCs w:val="20"/>
        </w:rPr>
        <w:t xml:space="preserve">: ein fester Markenrahmen sorgt für ein einheitliches, professionelles Erscheinungsbild, während klar definierte freie Bereiche jeder Aktion einen eigenen, ansprechenden Auftritt erlauben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Seit FA-23 gilt diese Zusage je Rahmen, nicht mehr für das ganze Video:</w:t>
      </w:r>
      <w:r>
        <w:rPr>
          <w:rFonts w:ascii="Arial" w:cs="Arial" w:eastAsia="Arial" w:hAnsi="Arial"/>
          <w:sz w:val="20"/>
          <w:szCs w:val="20"/>
        </w:rPr>
        <w:t xml:space="preserve"> der Rahmen bleibt in der Projekt-Standardmarke, die Inhalte darin dürfen fremde Marken tragen (Abschnitt 4.8).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Fester Rahmen (einheitlich, FA-11):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Studio-Logo an einer definierten Position.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Durchgängige Markenfarbwelt und Typografie gemäß Website.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Einheitliche Ränder/Sicherheitsabstände, abgestimmt auf die TV-Auflösung (4K bzw. 1080p) inkl. Rand zum Bildschirmrand.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Optionaler, wiederkehrender Marken-Slogan im Stil der Website (z. B. „Trainiere wann du willst. Nicht wann es passt.").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Variable Bereiche (Spielraum, FA-12):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Überschrift / Aktionstext (z. B. Angebot, Aktionsname).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Motiv- oder Produktbild.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Preis bzw. Call-to-Action (z. B. „Gratis Probetraining sichern").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Akzentfarbe oder Aktions-Badge zur Hervorhebung.</w:t>
      </w:r>
    </w:p>
    <w:p>
      <w:pPr>
        <w:pStyle w:val="Heading2"/>
      </w:pPr>
      <w:bookmarkStart w:name="_Toc9" w:id="9"/>
      <w:r>
        <w:rPr>
          <w:rFonts w:ascii="Arial" w:cs="Arial" w:eastAsia="Arial" w:hAnsi="Arial"/>
          <w:sz w:val="20"/>
          <w:szCs w:val="20"/>
        </w:rPr>
        <w:t xml:space="preserve">4.2 Design-Tokens / Style-Guide</w:t>
      </w:r>
      <w:bookmarkEnd w:id="9"/>
    </w:p>
    <w:p>
      <w:pPr>
        <w:pBdr>
          <w:left w:val="single" w:color="FF4040" w:sz="18" w:space="8"/>
        </w:pBdr>
        <w:shd w:fill="FBF3F3" w:val="clear"/>
        <w:spacing w:after="120" w:before="80"/>
        <w:ind w:left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Diese Tabellen beschreiben die </w:t>
      </w:r>
      <w:r>
        <w:rPr>
          <w:rFonts w:ascii="Arial" w:cs="Arial" w:eastAsia="Arial" w:hAnsi="Arial"/>
          <w:b/>
          <w:bCs/>
          <w:i/>
          <w:iCs/>
          <w:sz w:val="20"/>
          <w:szCs w:val="20"/>
        </w:rPr>
        <w:t xml:space="preserve">eingebaute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 Marke Fitnessworld24</w:t>
      </w:r>
      <w:r>
        <w:rPr>
          <w:rFonts w:ascii="Arial" w:cs="Arial" w:eastAsia="Arial" w:hAnsi="Arial"/>
          <w:sz w:val="20"/>
          <w:szCs w:val="20"/>
        </w:rPr>
        <w:t xml:space="preserve"> – seit FA-23 den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Standard</w:t>
      </w:r>
      <w:r>
        <w:rPr>
          <w:rFonts w:ascii="Arial" w:cs="Arial" w:eastAsia="Arial" w:hAnsi="Arial"/>
          <w:sz w:val="20"/>
          <w:szCs w:val="20"/>
        </w:rPr>
        <w:t xml:space="preserve">, nicht die einzige Marke. Weitere Marken tragen dieselben Rollen mit eigenen Werten; die Rollen-Namen und ihre Bedeutung sind für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alle</w:t>
      </w:r>
      <w:r>
        <w:rPr>
          <w:rFonts w:ascii="Arial" w:cs="Arial" w:eastAsia="Arial" w:hAnsi="Arial"/>
          <w:sz w:val="20"/>
          <w:szCs w:val="20"/>
        </w:rPr>
        <w:t xml:space="preserve"> Marken verbindlich (Technisches Konzept 9.11.2).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Aus dem Markenauftritt (Export der Website-Tokens) ergibt sich folgende Gestaltungsbasis. Wix-spezifische Editor-/Systemfarben wurden aussortiert (siehe Hinweis unten).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Farben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0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Rolle | Hex | Anmerkung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Primär / Akzent (Rot)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#FF4040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Primärfarbe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– Signal für Aktionen, Badges, CTA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Akzent kräftig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#DF3131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satte Variante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Akzent alternativ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#D62B2B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zweite Rot-Stufe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Dunkelrot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#971316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Akzenttext, Tiefe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Bordeaux / sehr dunkel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#4B090B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dunkle Flächen, starker Kontrast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Rot-Tint hell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#F5AEAF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dezente Hintergründe/Flächen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Schwarz / Text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#212121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#202020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Haupttext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Hintergrund dunkel (Charcoal)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#2F2E2E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dunkle Segment-Hintergründe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Weiß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#FFFFFF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Flächen, Text auf Dunkel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Grautöne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#8F8F8F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#646464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#A0A09F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#CCCCCC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#E2E2E2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Sekundärtext, Linien, Flächen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Typografie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0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Rolle | Schrift | Anmerkung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Headline / Display (elegant) | Playfair Display | Serif, für Überschriften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Headline / Display (kräftig) | Avenir 85 Heavy bzw. Arial Black | für plakative Werbe-Headlines/Slogans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Fließtext / UI | Helvetica / Helvetica Neue (Light, Roman, Bold) | Standardtext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Form &amp; Tiefe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Eckenradius: Buttons/Badges als Pille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30–50px</w:t>
      </w:r>
      <w:r>
        <w:rPr>
          <w:rFonts w:ascii="Arial" w:cs="Arial" w:eastAsia="Arial" w:hAnsi="Arial"/>
          <w:sz w:val="20"/>
          <w:szCs w:val="20"/>
        </w:rPr>
        <w:t xml:space="preserve">), Karten/Flächen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8–10px</w:t>
      </w:r>
      <w:r>
        <w:rPr>
          <w:rFonts w:ascii="Arial" w:cs="Arial" w:eastAsia="Arial" w:hAnsi="Arial"/>
          <w:sz w:val="20"/>
          <w:szCs w:val="20"/>
        </w:rPr>
        <w:t xml:space="preserve">, kleine Elemente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2px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Schatten (Karten/Flächen, dezent):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0 4px 8px rgba(0,0,0,.1)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Hinweis (aussortierte Wix-Artefakte):</w:t>
      </w:r>
      <w:r>
        <w:rPr>
          <w:rFonts w:ascii="Arial" w:cs="Arial" w:eastAsia="Arial" w:hAnsi="Arial"/>
          <w:sz w:val="20"/>
          <w:szCs w:val="20"/>
        </w:rPr>
        <w:t xml:space="preserve"> Das Editor-Blau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#116DFF</w:t>
      </w:r>
      <w:r>
        <w:rPr>
          <w:rFonts w:ascii="Arial" w:cs="Arial" w:eastAsia="Arial" w:hAnsi="Arial"/>
          <w:sz w:val="20"/>
          <w:szCs w:val="20"/>
        </w:rPr>
        <w:t xml:space="preserve"> (inkl. der zugehörigen Fokus-Schatten), das Standard-Link-Blau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#0000EE</w:t>
      </w:r>
      <w:r>
        <w:rPr>
          <w:rFonts w:ascii="Arial" w:cs="Arial" w:eastAsia="Arial" w:hAnsi="Arial"/>
          <w:sz w:val="20"/>
          <w:szCs w:val="20"/>
        </w:rPr>
        <w:t xml:space="preserve">, die Wix-Systemschrift „Madefor" sowie unaufgelöste Theme-Variablen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color_xx</w:t>
      </w:r>
      <w:r>
        <w:rPr>
          <w:rFonts w:ascii="Arial" w:cs="Arial" w:eastAsia="Arial" w:hAnsi="Arial"/>
          <w:sz w:val="20"/>
          <w:szCs w:val="20"/>
        </w:rPr>
        <w:t xml:space="preserve">, Ricos-Text-Tupel) und CSS-Systemfarben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Highlight</w:t>
      </w:r>
      <w:r>
        <w:rPr>
          <w:rFonts w:ascii="Arial" w:cs="Arial" w:eastAsia="Arial" w:hAnsi="Arial"/>
          <w:sz w:val="20"/>
          <w:szCs w:val="20"/>
        </w:rPr>
        <w:t xml:space="preserve">) gehören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nicht</w:t>
      </w:r>
      <w:r>
        <w:rPr>
          <w:rFonts w:ascii="Arial" w:cs="Arial" w:eastAsia="Arial" w:hAnsi="Arial"/>
          <w:sz w:val="20"/>
          <w:szCs w:val="20"/>
        </w:rPr>
        <w:t xml:space="preserve"> zum Studio-Branding und werden nicht verwendet.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Logo &amp; Primärfarbe (geklärt):</w:t>
      </w:r>
      <w:r>
        <w:rPr>
          <w:rFonts w:ascii="Arial" w:cs="Arial" w:eastAsia="Arial" w:hAnsi="Arial"/>
          <w:sz w:val="20"/>
          <w:szCs w:val="20"/>
        </w:rPr>
        <w:t xml:space="preserve"> Die verbindliche Primärfarbe ist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#FF4040</w:t>
      </w:r>
      <w:r>
        <w:rPr>
          <w:rFonts w:ascii="Arial" w:cs="Arial" w:eastAsia="Arial" w:hAnsi="Arial"/>
          <w:sz w:val="20"/>
          <w:szCs w:val="20"/>
        </w:rPr>
        <w:t xml:space="preserve">. Das offizielle Logo liegt vor (Quelle: Markenauftritt / Website).</w:t>
      </w:r>
    </w:p>
    <w:p>
      <w:pPr>
        <w:pStyle w:val="Heading2"/>
      </w:pPr>
      <w:bookmarkStart w:name="_Toc10" w:id="10"/>
      <w:r>
        <w:rPr>
          <w:rFonts w:ascii="Arial" w:cs="Arial" w:eastAsia="Arial" w:hAnsi="Arial"/>
          <w:sz w:val="20"/>
          <w:szCs w:val="20"/>
        </w:rPr>
        <w:t xml:space="preserve">4.3 Prozessverwaltung (Auftrags-Queue)</w:t>
      </w:r>
      <w:bookmarkEnd w:id="10"/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Länger laufende oder dateiverändernde Vorgänge —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Medien-Import, Löschen von Medien, finaler Render und USB-Export</w:t>
      </w:r>
      <w:r>
        <w:rPr>
          <w:rFonts w:ascii="Arial" w:cs="Arial" w:eastAsia="Arial" w:hAnsi="Arial"/>
          <w:sz w:val="20"/>
          <w:szCs w:val="20"/>
        </w:rPr>
        <w:t xml:space="preserve"> — laufen nicht unsichtbar im Hintergrund, sondern werden als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Aufträge</w:t>
      </w:r>
      <w:r>
        <w:rPr>
          <w:rFonts w:ascii="Arial" w:cs="Arial" w:eastAsia="Arial" w:hAnsi="Arial"/>
          <w:sz w:val="20"/>
          <w:szCs w:val="20"/>
        </w:rPr>
        <w:t xml:space="preserve"> in einer für den Nutzer sichtbaren Warteschlange geführt (FA-16). Damit bleibt der Systemzustand jederzeit nachvollziehbar, und Fehler gehen nicht verloren.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Sichtbarkeit (FA-16):</w:t>
      </w:r>
      <w:r>
        <w:rPr>
          <w:rFonts w:ascii="Arial" w:cs="Arial" w:eastAsia="Arial" w:hAnsi="Arial"/>
          <w:sz w:val="20"/>
          <w:szCs w:val="20"/>
        </w:rPr>
        <w:t xml:space="preserve"> Zu jedem Zeitpunkt ist erkennbar, welcher Auftrag gerade läuft, welche anstehen und welche fehlgeschlagen sind (jeweils mit Klartext-Bezeichnung, bei Fehlern mit Fehlergrund).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Serielle Ausführung (NFA-09):</w:t>
      </w:r>
      <w:r>
        <w:rPr>
          <w:rFonts w:ascii="Arial" w:cs="Arial" w:eastAsia="Arial" w:hAnsi="Arial"/>
          <w:sz w:val="20"/>
          <w:szCs w:val="20"/>
        </w:rPr>
        <w:t xml:space="preserve"> Es läuft stets nur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ein</w:t>
      </w:r>
      <w:r>
        <w:rPr>
          <w:rFonts w:ascii="Arial" w:cs="Arial" w:eastAsia="Arial" w:hAnsi="Arial"/>
          <w:sz w:val="20"/>
          <w:szCs w:val="20"/>
        </w:rPr>
        <w:t xml:space="preserve"> Auftrag gleichzeitig; die übrigen warten in Reihenfolge. Das macht den Ablauf vorhersehbar und verhindert Konflikte — z. B. wartet das Löschen eines Mediums, das gerade in einen laufenden Render einfließt, automatisch, bis der Render fertig ist.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Wiederholen (FA-17):</w:t>
      </w:r>
      <w:r>
        <w:rPr>
          <w:rFonts w:ascii="Arial" w:cs="Arial" w:eastAsia="Arial" w:hAnsi="Arial"/>
          <w:sz w:val="20"/>
          <w:szCs w:val="20"/>
        </w:rPr>
        <w:t xml:space="preserve"> Ein fehlgeschlagener Auftrag (z. B. Import einer beschädigten Datei, Export auf einen vollen USB-Stick) kann per Klick erneut ausgeführt werden; er wird dabei ans Ende der Warteschlange gestellt.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Abbrechen/Entfernen (FA-18):</w:t>
      </w:r>
      <w:r>
        <w:rPr>
          <w:rFonts w:ascii="Arial" w:cs="Arial" w:eastAsia="Arial" w:hAnsi="Arial"/>
          <w:sz w:val="20"/>
          <w:szCs w:val="20"/>
        </w:rPr>
        <w:t xml:space="preserve"> Ein noch nicht gestarteter Auftrag kann aus der Warteschlange entfernt, ein laufender Render abgebrochen werden.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Lebensdauer:</w:t>
      </w:r>
      <w:r>
        <w:rPr>
          <w:rFonts w:ascii="Arial" w:cs="Arial" w:eastAsia="Arial" w:hAnsi="Arial"/>
          <w:sz w:val="20"/>
          <w:szCs w:val="20"/>
        </w:rPr>
        <w:t xml:space="preserve"> Die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aktive</w:t>
      </w:r>
      <w:r>
        <w:rPr>
          <w:rFonts w:ascii="Arial" w:cs="Arial" w:eastAsia="Arial" w:hAnsi="Arial"/>
          <w:sz w:val="20"/>
          <w:szCs w:val="20"/>
        </w:rPr>
        <w:t xml:space="preserve"> Warteschlange (laufende/anstehende Vorgänge) ist ein reines Laufzeit-Hilfsmittel und nach einem Neustart der Anwendung leer.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Fehlgeschlagene Vorgänge bleiben jedoch erhalten</w:t>
      </w:r>
      <w:r>
        <w:rPr>
          <w:rFonts w:ascii="Arial" w:cs="Arial" w:eastAsia="Arial" w:hAnsi="Arial"/>
          <w:sz w:val="20"/>
          <w:szCs w:val="20"/>
        </w:rPr>
        <w:t xml:space="preserve"> – auch über einen Neustart hinweg –, damit sie nicht verloren gehen und später erneut ausgeführt werden können (FA-17).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Die interaktive Vorschau (FA-07) ist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</w:t>
      </w:r>
      <w:r>
        <w:rPr>
          <w:rFonts w:ascii="Arial" w:cs="Arial" w:eastAsia="Arial" w:hAnsi="Arial"/>
          <w:sz w:val="20"/>
          <w:szCs w:val="20"/>
        </w:rPr>
        <w:t xml:space="preserve"> Auftrag und läuft unabhängig von der Warteschlange.</w:t>
      </w:r>
    </w:p>
    <w:p>
      <w:pPr>
        <w:pStyle w:val="Heading2"/>
      </w:pPr>
      <w:bookmarkStart w:name="_Toc11" w:id="11"/>
      <w:r>
        <w:rPr>
          <w:rFonts w:ascii="Arial" w:cs="Arial" w:eastAsia="Arial" w:hAnsi="Arial"/>
          <w:sz w:val="20"/>
          <w:szCs w:val="20"/>
        </w:rPr>
        <w:t xml:space="preserve">4.4 Dauer und Trim – einheitliche Bedienung</w:t>
      </w:r>
      <w:bookmarkEnd w:id="11"/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Dauer (FA-06) und Trim (FA-14) werden für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alle</w:t>
      </w:r>
      <w:r>
        <w:rPr>
          <w:rFonts w:ascii="Arial" w:cs="Arial" w:eastAsia="Arial" w:hAnsi="Arial"/>
          <w:sz w:val="20"/>
          <w:szCs w:val="20"/>
        </w:rPr>
        <w:t xml:space="preserve"> Elementtypen über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denselben</w:t>
      </w:r>
      <w:r>
        <w:rPr>
          <w:rFonts w:ascii="Arial" w:cs="Arial" w:eastAsia="Arial" w:hAnsi="Arial"/>
          <w:sz w:val="20"/>
          <w:szCs w:val="20"/>
        </w:rPr>
        <w:t xml:space="preserve"> Bedien-Baustein gesteuert – einen Balken mit Griffen, an denen der Nutzer die effektive Dauer zieht. Kürzen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und</w:t>
      </w:r>
      <w:r>
        <w:rPr>
          <w:rFonts w:ascii="Arial" w:cs="Arial" w:eastAsia="Arial" w:hAnsi="Arial"/>
          <w:sz w:val="20"/>
          <w:szCs w:val="20"/>
        </w:rPr>
        <w:t xml:space="preserve"> Verlängern fühlen sich überall gleich an („wie Trimmen"); nur die Grenzen unterscheiden sich je nach Elementtyp: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Video (FA-14):</w:t>
      </w:r>
      <w:r>
        <w:rPr>
          <w:rFonts w:ascii="Arial" w:cs="Arial" w:eastAsia="Arial" w:hAnsi="Arial"/>
          <w:sz w:val="20"/>
          <w:szCs w:val="20"/>
        </w:rPr>
        <w:t xml:space="preserve"> zwei Griffe (Anfang/Ende) innerhalb der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Quelllänge</w:t>
      </w:r>
      <w:r>
        <w:rPr>
          <w:rFonts w:ascii="Arial" w:cs="Arial" w:eastAsia="Arial" w:hAnsi="Arial"/>
          <w:sz w:val="20"/>
          <w:szCs w:val="20"/>
        </w:rPr>
        <w:t xml:space="preserve"> des Videos. Kürzen schneidet Anfang/Ende weg; Verlängern ist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nur bis zur Quelllänge</w:t>
      </w:r>
      <w:r>
        <w:rPr>
          <w:rFonts w:ascii="Arial" w:cs="Arial" w:eastAsia="Arial" w:hAnsi="Arial"/>
          <w:sz w:val="20"/>
          <w:szCs w:val="20"/>
        </w:rPr>
        <w:t xml:space="preserve"> möglich (mehr Material existiert nicht). Der Schnitt ist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nicht-destruktiv</w:t>
      </w:r>
      <w:r>
        <w:rPr>
          <w:rFonts w:ascii="Arial" w:cs="Arial" w:eastAsia="Arial" w:hAnsi="Arial"/>
          <w:sz w:val="20"/>
          <w:szCs w:val="20"/>
        </w:rPr>
        <w:t xml:space="preserve"> – die Originaldatei bleibt unverändert.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Aktions-Segment (FA-06):</w:t>
      </w:r>
      <w:r>
        <w:rPr>
          <w:rFonts w:ascii="Arial" w:cs="Arial" w:eastAsia="Arial" w:hAnsi="Arial"/>
          <w:sz w:val="20"/>
          <w:szCs w:val="20"/>
        </w:rPr>
        <w:t xml:space="preserve"> die effektive Anzeigedauer ist frei im Bereich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10–45 s</w:t>
      </w:r>
      <w:r>
        <w:rPr>
          <w:rFonts w:ascii="Arial" w:cs="Arial" w:eastAsia="Arial" w:hAnsi="Arial"/>
          <w:sz w:val="20"/>
          <w:szCs w:val="20"/>
        </w:rPr>
        <w:t xml:space="preserve"> einstellbar. Da es keine Quelllänge gibt, ist die Obergrenze die konfigurierte Maximaldauer; Kürzen und Verlängern laufen über denselben Regler.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Der Regler zeigt die aktuelle effektive Dauer numerisch an. So bleibt die Bedienung über Video und Aktions-Segment hinweg konsistent, obwohl technisch ein Trim (Ausschnitt) und eine reine Anzeigedauer dahinterstehen.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Woher der Startwert kommt: eine projektweite Standarddauer, je Aktion überschreibbar (ab v1.5).</w:t>
      </w:r>
      <w:r>
        <w:rPr>
          <w:rFonts w:ascii="Arial" w:cs="Arial" w:eastAsia="Arial" w:hAnsi="Arial"/>
          <w:sz w:val="20"/>
          <w:szCs w:val="20"/>
        </w:rPr>
        <w:t xml:space="preserve"> Bis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v1.4 gab es genau eine feste Vorbelegung von 10 s. Wer für ein Projekt durchgehend längere Einblendungen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wollte, musste sie an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jeder</w:t>
      </w:r>
      <w:r>
        <w:rPr>
          <w:rFonts w:ascii="Arial" w:cs="Arial" w:eastAsia="Arial" w:hAnsi="Arial"/>
          <w:sz w:val="20"/>
          <w:szCs w:val="20"/>
        </w:rPr>
        <w:t xml:space="preserve"> Aktion einzeln nachziehen. Deshalb trägt jetzt das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Projekt</w:t>
      </w:r>
      <w:r>
        <w:rPr>
          <w:rFonts w:ascii="Arial" w:cs="Arial" w:eastAsia="Arial" w:hAnsi="Arial"/>
          <w:sz w:val="20"/>
          <w:szCs w:val="20"/>
        </w:rPr>
        <w:t xml:space="preserve"> eine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Standarddauer</w:t>
      </w:r>
      <w:r>
        <w:rPr>
          <w:rFonts w:ascii="Arial" w:cs="Arial" w:eastAsia="Arial" w:hAnsi="Arial"/>
          <w:sz w:val="20"/>
          <w:szCs w:val="20"/>
        </w:rPr>
        <w:t xml:space="preserve">, und die einzelne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Aktion</w:t>
      </w:r>
      <w:r>
        <w:rPr>
          <w:rFonts w:ascii="Arial" w:cs="Arial" w:eastAsia="Arial" w:hAnsi="Arial"/>
          <w:sz w:val="20"/>
          <w:szCs w:val="20"/>
        </w:rPr>
        <w:t xml:space="preserve"> darf sie überschreiben. Der Wert eines neu platzierten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Elements ergibt sich in dieser Reihenfolge: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0"/>
          <w:szCs w:val="20"/>
        </w:rPr>
        <w:t xml:space="preserve">die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eigene Dauer der Aktion</w:t>
      </w:r>
      <w:r>
        <w:rPr>
          <w:rFonts w:ascii="Arial" w:cs="Arial" w:eastAsia="Arial" w:hAnsi="Arial"/>
          <w:sz w:val="20"/>
          <w:szCs w:val="20"/>
        </w:rPr>
        <w:t xml:space="preserve">, wenn sie eine gesetzt hat;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0"/>
          <w:szCs w:val="20"/>
        </w:rPr>
        <w:t xml:space="preserve">sonst die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Standarddauer des Projekts</w:t>
      </w:r>
      <w:r>
        <w:rPr>
          <w:rFonts w:ascii="Arial" w:cs="Arial" w:eastAsia="Arial" w:hAnsi="Arial"/>
          <w:sz w:val="20"/>
          <w:szCs w:val="20"/>
        </w:rPr>
        <w:t xml:space="preserve">;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0"/>
          <w:szCs w:val="20"/>
        </w:rPr>
        <w:t xml:space="preserve">sonst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10 s</w:t>
      </w:r>
      <w:r>
        <w:rPr>
          <w:rFonts w:ascii="Arial" w:cs="Arial" w:eastAsia="Arial" w:hAnsi="Arial"/>
          <w:sz w:val="20"/>
          <w:szCs w:val="20"/>
        </w:rPr>
        <w:t xml:space="preserve"> – der eingebaute Rückfallwert.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Eine Aktion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ohne</w:t>
      </w:r>
      <w:r>
        <w:rPr>
          <w:rFonts w:ascii="Arial" w:cs="Arial" w:eastAsia="Arial" w:hAnsi="Arial"/>
          <w:sz w:val="20"/>
          <w:szCs w:val="20"/>
        </w:rPr>
        <w:t xml:space="preserve"> eigene Dauer folgt damit dem Projektstandard und zieht bei dessen Änderung mit; eine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Aktion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mit</w:t>
      </w:r>
      <w:r>
        <w:rPr>
          <w:rFonts w:ascii="Arial" w:cs="Arial" w:eastAsia="Arial" w:hAnsi="Arial"/>
          <w:sz w:val="20"/>
          <w:szCs w:val="20"/>
        </w:rPr>
        <w:t xml:space="preserve"> eigener Dauer bleibt, wo sie ist. Der einstellbare </w:t>
      </w:r>
      <w:r>
        <w:rPr>
          <w:rFonts w:ascii="Arial" w:cs="Arial" w:eastAsia="Arial" w:hAnsi="Arial"/>
          <w:sz w:val="20"/>
          <w:szCs w:val="20"/>
        </w:rPr>
        <w:t xml:space="preserve"/>
      </w:r>
      <w:r>
        <w:rPr>
          <w:rFonts w:ascii="Arial" w:cs="Arial" w:eastAsia="Arial" w:hAnsi="Arial"/>
          <w:sz w:val="20"/>
          <w:szCs w:val="20"/>
        </w:rPr>
        <w:t xml:space="preserve">Bereich 10–45 s bleibt unverändert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fest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 – konfigurierbar ist nur der </w:t>
      </w:r>
      <w:r>
        <w:rPr>
          <w:rFonts w:ascii="Arial" w:cs="Arial" w:eastAsia="Arial" w:hAnsi="Arial"/>
          <w:sz w:val="20"/>
          <w:szCs w:val="20"/>
        </w:rPr>
        <w:t xml:space="preserve">Standardwert</w:t>
      </w:r>
      <w:r>
        <w:rPr>
          <w:rFonts w:ascii="Arial" w:cs="Arial" w:eastAsia="Arial" w:hAnsi="Arial"/>
          <w:sz w:val="20"/>
          <w:szCs w:val="20"/>
        </w:rPr>
        <w:t xml:space="preserve"/>
      </w:r>
      <w:r>
        <w:rPr>
          <w:rFonts w:ascii="Arial" w:cs="Arial" w:eastAsia="Arial" w:hAnsi="Arial"/>
          <w:sz w:val="20"/>
          <w:szCs w:val="20"/>
        </w:rPr>
        <w:t xml:space="preserve"> innerhalb dieses Bereichs, nicht der Bereich selbst.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Die Dauer am einzelnen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Listenelement</w:t>
      </w:r>
      <w:r>
        <w:rPr>
          <w:rFonts w:ascii="Arial" w:cs="Arial" w:eastAsia="Arial" w:hAnsi="Arial"/>
          <w:sz w:val="20"/>
          <w:szCs w:val="20"/>
        </w:rPr>
        <w:t xml:space="preserve"> bleibt wie bisher maßgeblich für den Render: Die Kette liefert nur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den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Startwert</w:t>
      </w:r>
      <w:r>
        <w:rPr>
          <w:rFonts w:ascii="Arial" w:cs="Arial" w:eastAsia="Arial" w:hAnsi="Arial"/>
          <w:sz w:val="20"/>
          <w:szCs w:val="20"/>
        </w:rPr>
        <w:t xml:space="preserve">, danach entscheidet der Regler.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Beim Ändern des Projektstandards fragt die Anwendung nach.</w:t>
      </w:r>
      <w:r>
        <w:rPr>
          <w:rFonts w:ascii="Arial" w:cs="Arial" w:eastAsia="Arial" w:hAnsi="Arial"/>
          <w:sz w:val="20"/>
          <w:szCs w:val="20"/>
        </w:rPr>
        <w:t xml:space="preserve"> Ein geänderter Projektstandard wirkt sonst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lautlos auf Aktionen, die der Nutzer längst für erledigt hielt. Die Anwendung zeigt deshalb </w:t>
      </w:r>
      <w:r>
        <w:rPr>
          <w:rFonts w:ascii="Arial" w:cs="Arial" w:eastAsia="Arial" w:hAnsi="Arial"/>
          <w:sz w:val="20"/>
          <w:szCs w:val="20"/>
        </w:rPr>
        <w:t xml:space="preserve"/>
      </w:r>
      <w:r>
        <w:rPr>
          <w:rFonts w:ascii="Arial" w:cs="Arial" w:eastAsia="Arial" w:hAnsi="Arial"/>
          <w:sz w:val="20"/>
          <w:szCs w:val="20"/>
        </w:rPr>
        <w:t xml:space="preserve">alle Aktionen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mit dem Projektstandard als Dauer</w:t>
      </w:r>
      <w:r>
        <w:rPr>
          <w:rFonts w:ascii="Arial" w:cs="Arial" w:eastAsia="Arial" w:hAnsi="Arial"/>
          <w:sz w:val="20"/>
          <w:szCs w:val="20"/>
        </w:rPr>
        <w:t xml:space="preserve"/>
      </w:r>
      <w:r>
        <w:rPr>
          <w:rFonts w:ascii="Arial" w:cs="Arial" w:eastAsia="Arial" w:hAnsi="Arial"/>
          <w:sz w:val="20"/>
          <w:szCs w:val="20"/>
        </w:rPr>
        <w:t xml:space="preserve"> – also genau die, die keine eigene tragen – in einer Liste und fragt,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ob der neue Wert auch für sie gelten soll. Jede Aktion in dieser Liste ist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einzeln abwählbar</w:t>
      </w:r>
      <w:r>
        <w:rPr>
          <w:rFonts w:ascii="Arial" w:cs="Arial" w:eastAsia="Arial" w:hAnsi="Arial"/>
          <w:sz w:val="20"/>
          <w:szCs w:val="20"/>
        </w:rPr>
        <w:t xml:space="preserve">. Abwählen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heißt: Die Aktion behält ihre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bisherige</w:t>
      </w:r>
      <w:r>
        <w:rPr>
          <w:rFonts w:ascii="Arial" w:cs="Arial" w:eastAsia="Arial" w:hAnsi="Arial"/>
          <w:sz w:val="20"/>
          <w:szCs w:val="20"/>
        </w:rPr>
        <w:t xml:space="preserve"> Dauer, und zwar als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eigenen, festgeschriebenen Wert</w:t>
      </w:r>
      <w:r>
        <w:rPr>
          <w:rFonts w:ascii="Arial" w:cs="Arial" w:eastAsia="Arial" w:hAnsi="Arial"/>
          <w:sz w:val="20"/>
          <w:szCs w:val="20"/>
        </w:rPr>
        <w:t xml:space="preserve"> – sie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hört damit auf, dem Projektstandard zu folgen, und bleibt auch bei der nächsten Änderung unberührt. Ein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bloßes „diesmal nicht" gibt es nicht: Es wäre beim nächsten Mal wieder dieselbe Frage, und der Nutzer hätte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keine Möglichkeit, sie endgültig zu beantworten. Aktionen mit eigener Dauer erscheinen in der Liste gar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nicht erst – sie sind nicht betroffen.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Wie weit die Änderung reicht (ab v1.6).</w:t>
      </w:r>
      <w:r>
        <w:rPr>
          <w:rFonts w:ascii="Arial" w:cs="Arial" w:eastAsia="Arial" w:hAnsi="Arial"/>
          <w:sz w:val="20"/>
          <w:szCs w:val="20"/>
        </w:rPr>
        <w:t xml:space="preserve"> Ein geänderter Projektstandard wirkt auf die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Aktionen</w:t>
      </w:r>
      <w:r>
        <w:rPr>
          <w:rFonts w:ascii="Arial" w:cs="Arial" w:eastAsia="Arial" w:hAnsi="Arial"/>
          <w:sz w:val="20"/>
          <w:szCs w:val="20"/>
        </w:rPr>
        <w:t xml:space="preserve"> –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also auf den Startwert, den künftig platzierte Elemente bekommen. </w:t>
      </w:r>
      <w:r>
        <w:rPr>
          <w:rFonts w:ascii="Arial" w:cs="Arial" w:eastAsia="Arial" w:hAnsi="Arial"/>
          <w:sz w:val="20"/>
          <w:szCs w:val="20"/>
        </w:rPr>
        <w:t xml:space="preserve"/>
      </w:r>
      <w:r>
        <w:rPr>
          <w:rFonts w:ascii="Arial" w:cs="Arial" w:eastAsia="Arial" w:hAnsi="Arial"/>
          <w:sz w:val="20"/>
          <w:szCs w:val="20"/>
        </w:rPr>
        <w:t xml:space="preserve">Bereits in der Wiedergabeliste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liegende Elemente behalten ihre eingestellte Dauer</w:t>
      </w:r>
      <w:r>
        <w:rPr>
          <w:rFonts w:ascii="Arial" w:cs="Arial" w:eastAsia="Arial" w:hAnsi="Arial"/>
          <w:sz w:val="20"/>
          <w:szCs w:val="20"/>
        </w:rPr>
        <w:t xml:space="preserve"/>
      </w:r>
      <w:r>
        <w:rPr>
          <w:rFonts w:ascii="Arial" w:cs="Arial" w:eastAsia="Arial" w:hAnsi="Arial"/>
          <w:sz w:val="20"/>
          <w:szCs w:val="20"/>
        </w:rPr>
        <w:t xml:space="preserve">, auch wenn sie seinerzeit vom Standard stammte. Der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Grund ist derselbe wie oben: Die Dauer eines platzierten Elements ist eine am Regler getroffene, sichtbare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Entscheidung; sie im Hintergrund nachzuziehen hieße, dem Nutzer eine Einstellung zu ändern, die er in der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Liste vor sich sieht. Wer eine platzierte Dauer ändern will, zieht am Regler.</w:t>
      </w:r>
    </w:p>
    <w:p>
      <w:pPr>
        <w:pStyle w:val="Heading2"/>
      </w:pPr>
      <w:bookmarkStart w:name="_Toc12" w:id="12"/>
      <w:r>
        <w:rPr>
          <w:rFonts w:ascii="Arial" w:cs="Arial" w:eastAsia="Arial" w:hAnsi="Arial"/>
          <w:sz w:val="20"/>
          <w:szCs w:val="20"/>
        </w:rPr>
        <w:t xml:space="preserve">4.5 Betriebsarten für Werbeinhalte (FA-20) — Split-Screen ist die Hauptbetriebsart</w:t>
      </w:r>
      <w:bookmarkEnd w:id="12"/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Werbeinhalte erscheinen auf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drei</w:t>
      </w:r>
      <w:r>
        <w:rPr>
          <w:rFonts w:ascii="Arial" w:cs="Arial" w:eastAsia="Arial" w:hAnsi="Arial"/>
          <w:sz w:val="20"/>
          <w:szCs w:val="20"/>
        </w:rPr>
        <w:t xml:space="preserve"> Wegen.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Hauptbetriebsart ist die parallele Anzeige während eines Videos</w:t>
      </w:r>
      <w:r>
        <w:rPr>
          <w:rFonts w:ascii="Arial" w:cs="Arial" w:eastAsia="Arial" w:hAnsi="Arial"/>
          <w:sz w:val="20"/>
          <w:szCs w:val="20"/>
        </w:rPr>
        <w:t xml:space="preserve">; die sequenzielle Werbepause ist die zusätzliche Möglichkeit: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Split-Screen (Hauptbetriebsart):</w:t>
      </w:r>
      <w:r>
        <w:rPr>
          <w:rFonts w:ascii="Arial" w:cs="Arial" w:eastAsia="Arial" w:hAnsi="Arial"/>
          <w:sz w:val="20"/>
          <w:szCs w:val="20"/>
        </w:rPr>
        <w:t xml:space="preserve"> Während ein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Video läuft</w:t>
      </w:r>
      <w:r>
        <w:rPr>
          <w:rFonts w:ascii="Arial" w:cs="Arial" w:eastAsia="Arial" w:hAnsi="Arial"/>
          <w:sz w:val="20"/>
          <w:szCs w:val="20"/>
        </w:rPr>
        <w:t xml:space="preserve">, erscheint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darunter</w:t>
      </w:r>
      <w:r>
        <w:rPr>
          <w:rFonts w:ascii="Arial" w:cs="Arial" w:eastAsia="Arial" w:hAnsi="Arial"/>
          <w:sz w:val="20"/>
          <w:szCs w:val="20"/>
        </w:rPr>
        <w:t xml:space="preserve"> ein durchgehendes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Werbeband</w:t>
      </w:r>
      <w:r>
        <w:rPr>
          <w:rFonts w:ascii="Arial" w:cs="Arial" w:eastAsia="Arial" w:hAnsi="Arial"/>
          <w:sz w:val="20"/>
          <w:szCs w:val="20"/>
        </w:rPr>
        <w:t xml:space="preserve">. Das Video wird dafür verkleinert, aber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nichts wird verdeckt</w:t>
      </w:r>
      <w:r>
        <w:rPr>
          <w:rFonts w:ascii="Arial" w:cs="Arial" w:eastAsia="Arial" w:hAnsi="Arial"/>
          <w:sz w:val="20"/>
          <w:szCs w:val="20"/>
        </w:rPr>
        <w:t xml:space="preserve">. Im Band können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mehrere Aktionen nacheinander rotieren</w:t>
      </w:r>
      <w:r>
        <w:rPr>
          <w:rFonts w:ascii="Arial" w:cs="Arial" w:eastAsia="Arial" w:hAnsi="Arial"/>
          <w:sz w:val="20"/>
          <w:szCs w:val="20"/>
        </w:rPr>
        <w:t xml:space="preserve">, solange das Video läuft.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Einblendung (parallel, überlagernd):</w:t>
      </w:r>
      <w:r>
        <w:rPr>
          <w:rFonts w:ascii="Arial" w:cs="Arial" w:eastAsia="Arial" w:hAnsi="Arial"/>
          <w:sz w:val="20"/>
          <w:szCs w:val="20"/>
        </w:rPr>
        <w:t xml:space="preserve"> Das Video bleibt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vollflächig</w:t>
      </w:r>
      <w:r>
        <w:rPr>
          <w:rFonts w:ascii="Arial" w:cs="Arial" w:eastAsia="Arial" w:hAnsi="Arial"/>
          <w:sz w:val="20"/>
          <w:szCs w:val="20"/>
        </w:rPr>
        <w:t xml:space="preserve">; das Werbeband liegt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darüber</w:t>
      </w:r>
      <w:r>
        <w:rPr>
          <w:rFonts w:ascii="Arial" w:cs="Arial" w:eastAsia="Arial" w:hAnsi="Arial"/>
          <w:sz w:val="20"/>
          <w:szCs w:val="20"/>
        </w:rPr>
        <w:t xml:space="preserve"> und verdeckt den unteren Bildbereich. Vorteil: das Video behält seine volle Größe, ohne Seitenbalken.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Sequenziell (Werbepause):</w:t>
      </w:r>
      <w:r>
        <w:rPr>
          <w:rFonts w:ascii="Arial" w:cs="Arial" w:eastAsia="Arial" w:hAnsi="Arial"/>
          <w:sz w:val="20"/>
          <w:szCs w:val="20"/>
        </w:rPr>
        <w:t xml:space="preserve"> Eine Aktion wird als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eigenes, vollflächiges Segment</w:t>
      </w:r>
      <w:r>
        <w:rPr>
          <w:rFonts w:ascii="Arial" w:cs="Arial" w:eastAsia="Arial" w:hAnsi="Arial"/>
          <w:sz w:val="20"/>
          <w:szCs w:val="20"/>
        </w:rPr>
        <w:t xml:space="preserve"> zwischen den Videos gezeigt (FA-04).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Welche Art eine Vorlage bedient, wird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bei der Vorlagenerstellung gewählt</w:t>
      </w:r>
      <w:r>
        <w:rPr>
          <w:rFonts w:ascii="Arial" w:cs="Arial" w:eastAsia="Arial" w:hAnsi="Arial"/>
          <w:sz w:val="20"/>
          <w:szCs w:val="20"/>
        </w:rPr>
        <w:t xml:space="preserve"> (FA-13).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Geometrie beim Split-Screen:</w:t>
      </w:r>
      <w:r>
        <w:rPr>
          <w:rFonts w:ascii="Arial" w:cs="Arial" w:eastAsia="Arial" w:hAnsi="Arial"/>
          <w:sz w:val="20"/>
          <w:szCs w:val="20"/>
        </w:rPr>
        <w:t xml:space="preserve"> Der Bildrahmen bleibt 1920 × 1080. Die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Bandhöhe legt die Vorlage fest</w:t>
      </w:r>
      <w:r>
        <w:rPr>
          <w:rFonts w:ascii="Arial" w:cs="Arial" w:eastAsia="Arial" w:hAnsi="Arial"/>
          <w:sz w:val="20"/>
          <w:szCs w:val="20"/>
        </w:rPr>
        <w:t xml:space="preserve"> (eingebaute Vorlage: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162 px</w:t>
      </w:r>
      <w:r>
        <w:rPr>
          <w:rFonts w:ascii="Arial" w:cs="Arial" w:eastAsia="Arial" w:hAnsi="Arial"/>
          <w:sz w:val="20"/>
          <w:szCs w:val="20"/>
        </w:rPr>
        <w:t xml:space="preserve">, 15 %); das Video nutzt die restliche Höhe (bei 162 px also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918 px</w:t>
      </w:r>
      <w:r>
        <w:rPr>
          <w:rFonts w:ascii="Arial" w:cs="Arial" w:eastAsia="Arial" w:hAnsi="Arial"/>
          <w:sz w:val="20"/>
          <w:szCs w:val="20"/>
        </w:rPr>
        <w:t xml:space="preserve">). Weil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 Beschnitt</w:t>
      </w:r>
      <w:r>
        <w:rPr>
          <w:rFonts w:ascii="Arial" w:cs="Arial" w:eastAsia="Arial" w:hAnsi="Arial"/>
          <w:sz w:val="20"/>
          <w:szCs w:val="20"/>
        </w:rPr>
        <w:t xml:space="preserve"> erlaubt ist, wird ein 16:9-Video höhenbegrenzt eingepasst (bei 918 px →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1632 × 918</w:t>
      </w:r>
      <w:r>
        <w:rPr>
          <w:rFonts w:ascii="Arial" w:cs="Arial" w:eastAsia="Arial" w:hAnsi="Arial"/>
          <w:sz w:val="20"/>
          <w:szCs w:val="20"/>
        </w:rPr>
        <w:t xml:space="preserve">); die verbleibenden Flächen links und rechts (je 144 px) werden in der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dunklen Markenfarbe</w:t>
      </w:r>
      <w:r>
        <w:rPr>
          <w:rFonts w:ascii="Arial" w:cs="Arial" w:eastAsia="Arial" w:hAnsi="Arial"/>
          <w:sz w:val="20"/>
          <w:szCs w:val="20"/>
        </w:rPr>
        <w:t xml:space="preserve"> gefüllt, damit der Split gestaltet wirkt und nicht wie ungenutzter Platz.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Bewusste Konsequenz beim Split-Screen:</w:t>
      </w:r>
      <w:r>
        <w:rPr>
          <w:rFonts w:ascii="Arial" w:cs="Arial" w:eastAsia="Arial" w:hAnsi="Arial"/>
          <w:sz w:val="20"/>
          <w:szCs w:val="20"/>
        </w:rPr>
        <w:t xml:space="preserve"> Das Video erscheint kleiner (bei 162 px Band ca. 72 % der Fläche) — reine Geometrie bei festem 16:9-Rahmen, kein Fehler. Wer das Video in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voller</w:t>
      </w:r>
      <w:r>
        <w:rPr>
          <w:rFonts w:ascii="Arial" w:cs="Arial" w:eastAsia="Arial" w:hAnsi="Arial"/>
          <w:sz w:val="20"/>
          <w:szCs w:val="20"/>
        </w:rPr>
        <w:t xml:space="preserve"> Größe behalten will, nutzt die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Einblendung</w:t>
      </w:r>
      <w:r>
        <w:rPr>
          <w:rFonts w:ascii="Arial" w:cs="Arial" w:eastAsia="Arial" w:hAnsi="Arial"/>
          <w:sz w:val="20"/>
          <w:szCs w:val="20"/>
        </w:rPr>
        <w:t xml:space="preserve"> (Art 2), die dafür den unteren Bildbereich verdeckt.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Platz im Band:</w:t>
      </w:r>
      <w:r>
        <w:rPr>
          <w:rFonts w:ascii="Arial" w:cs="Arial" w:eastAsia="Arial" w:hAnsi="Arial"/>
          <w:sz w:val="20"/>
          <w:szCs w:val="20"/>
        </w:rPr>
        <w:t xml:space="preserve"> In ein 162 px hohes Band passt eine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kompakte Zeile</w:t>
      </w:r>
      <w:r>
        <w:rPr>
          <w:rFonts w:ascii="Arial" w:cs="Arial" w:eastAsia="Arial" w:hAnsi="Arial"/>
          <w:sz w:val="20"/>
          <w:szCs w:val="20"/>
        </w:rPr>
        <w:t xml:space="preserve"> (Logo, Titel, Preis/CTA); eine längere Beschreibung ist dort nicht vorgesehen. Höhere Bänder sind über eigene Vorlagen möglich — sie verkleinern beim Split-Screen entsprechend das Video.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Eine Aktion auf das Video legen (User-Entscheidung 15.10.2026).</w:t>
      </w:r>
      <w:r>
        <w:rPr>
          <w:rFonts w:ascii="Arial" w:cs="Arial" w:eastAsia="Arial" w:hAnsi="Arial"/>
          <w:sz w:val="20"/>
          <w:szCs w:val="20"/>
        </w:rPr>
        <w:t xml:space="preserve"> In der Zusammenstellung zieht man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eine Aktion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auf das Video</w:t>
      </w:r>
      <w:r>
        <w:rPr>
          <w:rFonts w:ascii="Arial" w:cs="Arial" w:eastAsia="Arial" w:hAnsi="Arial"/>
          <w:sz w:val="20"/>
          <w:szCs w:val="20"/>
        </w:rPr>
        <w:t xml:space="preserve"> – sie wird dann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während</w:t>
      </w:r>
      <w:r>
        <w:rPr>
          <w:rFonts w:ascii="Arial" w:cs="Arial" w:eastAsia="Arial" w:hAnsi="Arial"/>
          <w:sz w:val="20"/>
          <w:szCs w:val="20"/>
        </w:rPr>
        <w:t xml:space="preserve"> des Videos gezeigt, nicht davor oder danach.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Zwei Wirkungen sind möglich: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Band (parallel, FA-20):</w:t>
      </w:r>
      <w:r>
        <w:rPr>
          <w:rFonts w:ascii="Arial" w:cs="Arial" w:eastAsia="Arial" w:hAnsi="Arial"/>
          <w:sz w:val="20"/>
          <w:szCs w:val="20"/>
        </w:rPr>
        <w:t xml:space="preserve"> Die Aktion erscheint im Werbeband (Split-Screen oder Einblendung); das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Video läuft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weiter</w:t>
      </w:r>
      <w:r>
        <w:rPr>
          <w:rFonts w:ascii="Arial" w:cs="Arial" w:eastAsia="Arial" w:hAnsi="Arial"/>
          <w:sz w:val="20"/>
          <w:szCs w:val="20"/>
        </w:rPr>
        <w:t xml:space="preserve">. Mehrere Aktionen können im Band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rotieren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Kurze Unterbrechung (neu):</w:t>
      </w:r>
      <w:r>
        <w:rPr>
          <w:rFonts w:ascii="Arial" w:cs="Arial" w:eastAsia="Arial" w:hAnsi="Arial"/>
          <w:sz w:val="20"/>
          <w:szCs w:val="20"/>
        </w:rPr>
        <w:t xml:space="preserve"> Die Aktion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unterbricht</w:t>
      </w:r>
      <w:r>
        <w:rPr>
          <w:rFonts w:ascii="Arial" w:cs="Arial" w:eastAsia="Arial" w:hAnsi="Arial"/>
          <w:sz w:val="20"/>
          <w:szCs w:val="20"/>
        </w:rPr>
        <w:t xml:space="preserve"> das Video – das Video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pausiert</w:t>
      </w:r>
      <w:r>
        <w:rPr>
          <w:rFonts w:ascii="Arial" w:cs="Arial" w:eastAsia="Arial" w:hAnsi="Arial"/>
          <w:sz w:val="20"/>
          <w:szCs w:val="20"/>
        </w:rPr>
        <w:t xml:space="preserve">, die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Aktion läuft, danach läuft das Video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an derselben Stelle weiter</w:t>
      </w:r>
      <w:r>
        <w:rPr>
          <w:rFonts w:ascii="Arial" w:cs="Arial" w:eastAsia="Arial" w:hAnsi="Arial"/>
          <w:sz w:val="20"/>
          <w:szCs w:val="20"/>
        </w:rPr>
        <w:t xml:space="preserve">. Modell und Render hierfür sind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noch zu entwerfen (s. Technisches Konzept 9.7.7).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Bisher war nur das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sequenzielle</w:t>
      </w:r>
      <w:r>
        <w:rPr>
          <w:rFonts w:ascii="Arial" w:cs="Arial" w:eastAsia="Arial" w:hAnsi="Arial"/>
          <w:sz w:val="20"/>
          <w:szCs w:val="20"/>
        </w:rPr>
        <w:t xml:space="preserve"> Einordnen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zwischen</w:t>
      </w:r>
      <w:r>
        <w:rPr>
          <w:rFonts w:ascii="Arial" w:cs="Arial" w:eastAsia="Arial" w:hAnsi="Arial"/>
          <w:sz w:val="20"/>
          <w:szCs w:val="20"/>
        </w:rPr>
        <w:t xml:space="preserve"> den Elementen möglich (vor/nach dem Video,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FA-04/FA-05). Das Drag-and-drop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zwischen Zeitleisten-Blöcken</w:t>
      </w:r>
      <w:r>
        <w:rPr>
          <w:rFonts w:ascii="Arial" w:cs="Arial" w:eastAsia="Arial" w:hAnsi="Arial"/>
          <w:sz w:val="20"/>
          <w:szCs w:val="20"/>
        </w:rPr>
        <w:t xml:space="preserve"> bleibt erhalten; das Ablegen </w:t>
      </w:r>
      <w:r>
        <w:rPr>
          <w:rFonts w:ascii="Arial" w:cs="Arial" w:eastAsia="Arial" w:hAnsi="Arial"/>
          <w:sz w:val="20"/>
          <w:szCs w:val="20"/>
        </w:rPr>
        <w:t xml:space="preserve"/>
      </w:r>
      <w:r>
        <w:rPr>
          <w:rFonts w:ascii="Arial" w:cs="Arial" w:eastAsia="Arial" w:hAnsi="Arial"/>
          <w:sz w:val="20"/>
          <w:szCs w:val="20"/>
        </w:rPr>
        <w:t xml:space="preserve">auf dem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Video</w:t>
      </w:r>
      <w:r>
        <w:rPr>
          <w:rFonts w:ascii="Arial" w:cs="Arial" w:eastAsia="Arial" w:hAnsi="Arial"/>
          <w:sz w:val="20"/>
          <w:szCs w:val="20"/>
        </w:rPr>
        <w:t xml:space="preserve"/>
      </w:r>
      <w:r>
        <w:rPr>
          <w:rFonts w:ascii="Arial" w:cs="Arial" w:eastAsia="Arial" w:hAnsi="Arial"/>
          <w:sz w:val="20"/>
          <w:szCs w:val="20"/>
        </w:rPr>
        <w:t xml:space="preserve"> ist der neue Weg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während</w:t>
      </w:r>
      <w:r>
        <w:rPr>
          <w:rFonts w:ascii="Arial" w:cs="Arial" w:eastAsia="Arial" w:hAnsi="Arial"/>
          <w:sz w:val="20"/>
          <w:szCs w:val="20"/>
        </w:rPr>
        <w:t xml:space="preserve"> des Videos.</w:t>
      </w:r>
    </w:p>
    <w:p>
      <w:pPr>
        <w:pStyle w:val="Heading2"/>
      </w:pPr>
      <w:bookmarkStart w:name="_Toc13" w:id="13"/>
      <w:r>
        <w:rPr>
          <w:rFonts w:ascii="Arial" w:cs="Arial" w:eastAsia="Arial" w:hAnsi="Arial"/>
          <w:sz w:val="20"/>
          <w:szCs w:val="20"/>
        </w:rPr>
        <w:t xml:space="preserve">4.6 Vorlagen bearbeiten: Arbeitskopie und explizites Speichern (FA-13)</w:t>
      </w:r>
      <w:bookmarkEnd w:id="13"/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Vorlagen werden typischerweise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anhand eines konkreten Projekts</w:t>
      </w:r>
      <w:r>
        <w:rPr>
          <w:rFonts w:ascii="Arial" w:cs="Arial" w:eastAsia="Arial" w:hAnsi="Arial"/>
          <w:sz w:val="20"/>
          <w:szCs w:val="20"/>
        </w:rPr>
        <w:t xml:space="preserve"> gestaltet – man sieht am echten Inhalt, ob das Layout trägt. Damit dabei nicht versehentlich laufende Werbung verändert wird, gilt ein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Zwei-Stufen-Ablauf</w:t>
      </w:r>
      <w:r>
        <w:rPr>
          <w:rFonts w:ascii="Arial" w:cs="Arial" w:eastAsia="Arial" w:hAnsi="Arial"/>
          <w:sz w:val="20"/>
          <w:szCs w:val="20"/>
        </w:rPr>
        <w:t xml:space="preserve">: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Bearbeiten:</w:t>
      </w:r>
      <w:r>
        <w:rPr>
          <w:rFonts w:ascii="Arial" w:cs="Arial" w:eastAsia="Arial" w:hAnsi="Arial"/>
          <w:sz w:val="20"/>
          <w:szCs w:val="20"/>
        </w:rPr>
        <w:t xml:space="preserve"> Wer eine Vorlage öffnet, arbeitet auf einer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Arbeitskopie</w:t>
      </w:r>
      <w:r>
        <w:rPr>
          <w:rFonts w:ascii="Arial" w:cs="Arial" w:eastAsia="Arial" w:hAnsi="Arial"/>
          <w:sz w:val="20"/>
          <w:szCs w:val="20"/>
        </w:rPr>
        <w:t xml:space="preserve">. Diese wird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automatisch gesichert</w:t>
      </w:r>
      <w:r>
        <w:rPr>
          <w:rFonts w:ascii="Arial" w:cs="Arial" w:eastAsia="Arial" w:hAnsi="Arial"/>
          <w:sz w:val="20"/>
          <w:szCs w:val="20"/>
        </w:rPr>
        <w:t xml:space="preserve"> (nichts geht verloren), die genutzte Vorlage bleibt aber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unberührt</w:t>
      </w:r>
      <w:r>
        <w:rPr>
          <w:rFonts w:ascii="Arial" w:cs="Arial" w:eastAsia="Arial" w:hAnsi="Arial"/>
          <w:sz w:val="20"/>
          <w:szCs w:val="20"/>
        </w:rPr>
        <w:t xml:space="preserve">. Experimentieren ist damit gefahrlos.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Abschließen:</w:t>
      </w:r>
      <w:r>
        <w:rPr>
          <w:rFonts w:ascii="Arial" w:cs="Arial" w:eastAsia="Arial" w:hAnsi="Arial"/>
          <w:sz w:val="20"/>
          <w:szCs w:val="20"/>
        </w:rPr>
        <w:t xml:space="preserve"> Am Ende wird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explizit gespeichert</w:t>
      </w:r>
      <w:r>
        <w:rPr>
          <w:rFonts w:ascii="Arial" w:cs="Arial" w:eastAsia="Arial" w:hAnsi="Arial"/>
          <w:sz w:val="20"/>
          <w:szCs w:val="20"/>
        </w:rPr>
        <w:t xml:space="preserve">, mit der Wahl zwischen</w:t>
      </w:r>
    </w:p>
    <w:p>
      <w:pPr>
        <w:pStyle w:val="ListParagraph"/>
        <w:numPr>
          <w:ilvl w:val="1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„Vorlage überarbeiten"</w:t>
      </w:r>
      <w:r>
        <w:rPr>
          <w:rFonts w:ascii="Arial" w:cs="Arial" w:eastAsia="Arial" w:hAnsi="Arial"/>
          <w:sz w:val="20"/>
          <w:szCs w:val="20"/>
        </w:rPr>
        <w:t xml:space="preserve"> – die Änderungen wandern in die bestehende Vorlage. Vorher wird angezeigt,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wie viele Aktionen in wie vielen Projekten</w:t>
      </w:r>
      <w:r>
        <w:rPr>
          <w:rFonts w:ascii="Arial" w:cs="Arial" w:eastAsia="Arial" w:hAnsi="Arial"/>
          <w:sz w:val="20"/>
          <w:szCs w:val="20"/>
        </w:rPr>
        <w:t xml:space="preserve"> davon betroffen sind, denn alle ändern ihr Aussehen.</w:t>
      </w:r>
    </w:p>
    <w:p>
      <w:pPr>
        <w:pStyle w:val="ListParagraph"/>
        <w:numPr>
          <w:ilvl w:val="1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„Als neue eigenständige Vorlage"</w:t>
      </w:r>
      <w:r>
        <w:rPr>
          <w:rFonts w:ascii="Arial" w:cs="Arial" w:eastAsia="Arial" w:hAnsi="Arial"/>
          <w:sz w:val="20"/>
          <w:szCs w:val="20"/>
        </w:rPr>
        <w:t xml:space="preserve"> – es entsteht eine zusätzliche Vorlage; die ursprüngliche bleibt unverändert.</w:t>
      </w:r>
    </w:p>
    <w:p>
      <w:pPr>
        <w:pStyle w:val="ListParagraph"/>
        <w:numPr>
          <w:ilvl w:val="1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„Verwerfen"</w:t>
      </w:r>
      <w:r>
        <w:rPr>
          <w:rFonts w:ascii="Arial" w:cs="Arial" w:eastAsia="Arial" w:hAnsi="Arial"/>
          <w:sz w:val="20"/>
          <w:szCs w:val="20"/>
        </w:rPr>
        <w:t xml:space="preserve"> – der Bearbeitungsstand wird fallengelassen.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Eingebaute Vorlagen</w:t>
      </w:r>
      <w:r>
        <w:rPr>
          <w:rFonts w:ascii="Arial" w:cs="Arial" w:eastAsia="Arial" w:hAnsi="Arial"/>
          <w:sz w:val="20"/>
          <w:szCs w:val="20"/>
        </w:rPr>
        <w:t xml:space="preserve"> lassen sich nicht überarbeiten; bei ihnen steht nur „als neue eigenständige Vorlage" zur Verfügung (sie bleiben als verlässliche Ausgangsbasis erhalten).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Halbfertige Arbeitskopien</w:t>
      </w:r>
      <w:r>
        <w:rPr>
          <w:rFonts w:ascii="Arial" w:cs="Arial" w:eastAsia="Arial" w:hAnsi="Arial"/>
          <w:sz w:val="20"/>
          <w:szCs w:val="20"/>
        </w:rPr>
        <w:t xml:space="preserve"> stehen nicht zur Auswahl für Aktionen – sie können also nicht versehentlich in ein Video geraten.</w:t>
      </w:r>
    </w:p>
    <w:p>
      <w:pPr>
        <w:pStyle w:val="Heading2"/>
      </w:pPr>
      <w:bookmarkStart w:name="_Toc14" w:id="14"/>
      <w:r>
        <w:rPr>
          <w:rFonts w:ascii="Arial" w:cs="Arial" w:eastAsia="Arial" w:hAnsi="Arial"/>
          <w:sz w:val="20"/>
          <w:szCs w:val="20"/>
        </w:rPr>
        <w:t xml:space="preserve">4.7 Ausgabedateien: Benennung, Ersetzen, Export (FA-22)</w:t>
      </w:r>
      <w:bookmarkEnd w:id="14"/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Ein Projekt hält seine gerenderten Videos in einem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eigenen Ausgabeordner</w:t>
      </w:r>
      <w:r>
        <w:rPr>
          <w:rFonts w:ascii="Arial" w:cs="Arial" w:eastAsia="Arial" w:hAnsi="Arial"/>
          <w:sz w:val="20"/>
          <w:szCs w:val="20"/>
        </w:rPr>
        <w:t xml:space="preserve">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projects/&lt;projekt-id&gt;/output/</w:t>
      </w:r>
      <w:r>
        <w:rPr>
          <w:rFonts w:ascii="Arial" w:cs="Arial" w:eastAsia="Arial" w:hAnsi="Arial"/>
          <w:sz w:val="20"/>
          <w:szCs w:val="20"/>
        </w:rPr>
        <w:t xml:space="preserve">).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Dass der Ordner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zum Projekt</w:t>
      </w:r>
      <w:r>
        <w:rPr>
          <w:rFonts w:ascii="Arial" w:cs="Arial" w:eastAsia="Arial" w:hAnsi="Arial"/>
          <w:sz w:val="20"/>
          <w:szCs w:val="20"/>
        </w:rPr>
        <w:t xml:space="preserve"> gehört, ist wesentlich: Läge er anwendungsweit, würde ein Render in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Projekt B die noch nicht exportierte Datei von Projekt A überschreiben.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Benennung:</w:t>
      </w:r>
      <w:r>
        <w:rPr>
          <w:rFonts w:ascii="Arial" w:cs="Arial" w:eastAsia="Arial" w:hAnsi="Arial"/>
          <w:sz w:val="20"/>
          <w:szCs w:val="20"/>
        </w:rPr>
        <w:t xml:space="preserve"> Der Nutzer vergibt beim Speichern des Renders den Dateinamen (z. B.</w:t>
      </w:r>
    </w:p>
    <w:p>
      <w:pPr>
        <w:spacing w:after="120"/>
      </w:pP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sommeraktion.mp4</w:t>
      </w:r>
      <w:r>
        <w:rPr>
          <w:rFonts w:ascii="Arial" w:cs="Arial" w:eastAsia="Arial" w:hAnsi="Arial"/>
          <w:sz w:val="20"/>
          <w:szCs w:val="20"/>
        </w:rPr>
        <w:t xml:space="preserve">).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 Zeitstempel im Namen</w:t>
      </w:r>
      <w:r>
        <w:rPr>
          <w:rFonts w:ascii="Arial" w:cs="Arial" w:eastAsia="Arial" w:hAnsi="Arial"/>
          <w:sz w:val="20"/>
          <w:szCs w:val="20"/>
        </w:rPr>
        <w:t xml:space="preserve"> – Datum und Uhrzeit der Erzeugung zeigt die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Anwendung in ihrer Ausgabe-Liste an. So bleibt der Name stabil, und eine neue Fassung ersetzt die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alte auch auf dem USB-Speicher, statt sich daneben anzusammeln.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Ersetzen als Standard:</w:t>
      </w:r>
      <w:r>
        <w:rPr>
          <w:rFonts w:ascii="Arial" w:cs="Arial" w:eastAsia="Arial" w:hAnsi="Arial"/>
          <w:sz w:val="20"/>
          <w:szCs w:val="20"/>
        </w:rPr>
        <w:t xml:space="preserve"> Vorbelegt ist der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zuletzt verwendete</w:t>
      </w:r>
      <w:r>
        <w:rPr>
          <w:rFonts w:ascii="Arial" w:cs="Arial" w:eastAsia="Arial" w:hAnsi="Arial"/>
          <w:sz w:val="20"/>
          <w:szCs w:val="20"/>
        </w:rPr>
        <w:t xml:space="preserve"> Name. Wer nur eine Kleinigkeit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korrigiert und neu rendert, überschreibt damit die vorige Fassung – nach zehn Probeläufen liegt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eine</w:t>
      </w:r>
      <w:r>
        <w:rPr>
          <w:rFonts w:ascii="Arial" w:cs="Arial" w:eastAsia="Arial" w:hAnsi="Arial"/>
          <w:sz w:val="20"/>
          <w:szCs w:val="20"/>
        </w:rPr>
        <w:t xml:space="preserve"> Datei im Ordner, nicht zehn. Wer eine Fassung behalten will, vergibt einen neuen Namen.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Schutz der vorigen Fassung:</w:t>
      </w:r>
      <w:r>
        <w:rPr>
          <w:rFonts w:ascii="Arial" w:cs="Arial" w:eastAsia="Arial" w:hAnsi="Arial"/>
          <w:sz w:val="20"/>
          <w:szCs w:val="20"/>
        </w:rPr>
        <w:t xml:space="preserve"> Ein Render, der abbricht oder fehlschlägt, darf die vorhandene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Datei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nicht</w:t>
      </w:r>
      <w:r>
        <w:rPr>
          <w:rFonts w:ascii="Arial" w:cs="Arial" w:eastAsia="Arial" w:hAnsi="Arial"/>
          <w:sz w:val="20"/>
          <w:szCs w:val="20"/>
        </w:rPr>
        <w:t xml:space="preserve"> beschädigen. Geschrieben wird zuerst vollständig unter einem Arbeitsnamen; erst die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fertige Datei ersetzt die alte (technisch verbindlich im Technischen Konzept 9.2.6).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Export:</w:t>
      </w:r>
      <w:r>
        <w:rPr>
          <w:rFonts w:ascii="Arial" w:cs="Arial" w:eastAsia="Arial" w:hAnsi="Arial"/>
          <w:sz w:val="20"/>
          <w:szCs w:val="20"/>
        </w:rPr>
        <w:t xml:space="preserve"> Der Nutzer wählt,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welche</w:t>
      </w:r>
      <w:r>
        <w:rPr>
          <w:rFonts w:ascii="Arial" w:cs="Arial" w:eastAsia="Arial" w:hAnsi="Arial"/>
          <w:sz w:val="20"/>
          <w:szCs w:val="20"/>
        </w:rPr>
        <w:t xml:space="preserve"> Ausgabedatei auf den USB-Speicher geht; sie behält dort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ihren Namen. Mehrere Dateien dürfen nebeneinander liegen.</w:t>
      </w:r>
    </w:p>
    <w:p>
      <w:pPr>
        <w:pStyle w:val="Heading2"/>
      </w:pPr>
      <w:bookmarkStart w:name="_Toc15" w:id="15"/>
      <w:r>
        <w:rPr>
          <w:rFonts w:ascii="Arial" w:cs="Arial" w:eastAsia="Arial" w:hAnsi="Arial"/>
          <w:sz w:val="20"/>
          <w:szCs w:val="20"/>
        </w:rPr>
        <w:t xml:space="preserve">4.8 Marken: Bestand, Ableitung, Zuweisung (FA-23, FA-24)</w:t>
      </w:r>
      <w:bookmarkEnd w:id="15"/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Bis v1.2 kannte das System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eine</w:t>
      </w:r>
      <w:r>
        <w:rPr>
          <w:rFonts w:ascii="Arial" w:cs="Arial" w:eastAsia="Arial" w:hAnsi="Arial"/>
          <w:sz w:val="20"/>
          <w:szCs w:val="20"/>
        </w:rPr>
        <w:t xml:space="preserve"> Marke – die von Fitnessworld24. Mit FA-23 wird daraus ein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Bestand</w:t>
      </w:r>
      <w:r>
        <w:rPr>
          <w:rFonts w:ascii="Arial" w:cs="Arial" w:eastAsia="Arial" w:hAnsi="Arial"/>
          <w:sz w:val="20"/>
          <w:szCs w:val="20"/>
        </w:rPr>
        <w:t xml:space="preserve">. Zwei Anlässe machen das nötig: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Partner- und Fremdwerbung.</w:t>
      </w:r>
      <w:r>
        <w:rPr>
          <w:rFonts w:ascii="Arial" w:cs="Arial" w:eastAsia="Arial" w:hAnsi="Arial"/>
          <w:sz w:val="20"/>
          <w:szCs w:val="20"/>
        </w:rPr>
        <w:t xml:space="preserve"> Im Studio wird für Dritte geworben (etwa Nahrungsergänzungs-Hersteller).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Diese Aktionen tragen die Marke des Partners, nicht die des Studios.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Saison- und Kampagnen-Looks.</w:t>
      </w:r>
      <w:r>
        <w:rPr>
          <w:rFonts w:ascii="Arial" w:cs="Arial" w:eastAsia="Arial" w:hAnsi="Arial"/>
          <w:sz w:val="20"/>
          <w:szCs w:val="20"/>
        </w:rPr>
        <w:t xml:space="preserve"> Dieselbe Fitnessworld24-Marke in einer abweichenden Anmutung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(Sommeraktion, Jahreswechsel) – gleiche Schriften, gleiches Logo, andere Farben.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Was das an der Zusage aus 4.1 ändert – bitte bewusst lesen.</w:t>
      </w:r>
      <w:r>
        <w:rPr>
          <w:rFonts w:ascii="Arial" w:cs="Arial" w:eastAsia="Arial" w:hAnsi="Arial"/>
          <w:sz w:val="20"/>
          <w:szCs w:val="20"/>
        </w:rPr>
        <w:t xml:space="preserve"> Der Satz „ein fester Markenrahmen sorgt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für ein einheitliches, professionelles Erscheinungsbild" gilt weiterhin, aber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je Rahmen</w:t>
      </w:r>
      <w:r>
        <w:rPr>
          <w:rFonts w:ascii="Arial" w:cs="Arial" w:eastAsia="Arial" w:hAnsi="Arial"/>
          <w:sz w:val="20"/>
          <w:szCs w:val="20"/>
        </w:rPr>
        <w:t xml:space="preserve">, nicht mehr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für das ganze Video: Der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Rahmen</w:t>
      </w:r>
      <w:r>
        <w:rPr>
          <w:rFonts w:ascii="Arial" w:cs="Arial" w:eastAsia="Arial" w:hAnsi="Arial"/>
          <w:sz w:val="20"/>
          <w:szCs w:val="20"/>
        </w:rPr>
        <w:t xml:space="preserve"> (Band-Hintergrund, Restflächen neben einem eingepassten Video)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bleibt in der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Projekt-Standardmarke</w:t>
      </w:r>
      <w:r>
        <w:rPr>
          <w:rFonts w:ascii="Arial" w:cs="Arial" w:eastAsia="Arial" w:hAnsi="Arial"/>
          <w:sz w:val="20"/>
          <w:szCs w:val="20"/>
        </w:rPr>
        <w:t xml:space="preserve"> stabil; die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Inhalte</w:t>
      </w:r>
      <w:r>
        <w:rPr>
          <w:rFonts w:ascii="Arial" w:cs="Arial" w:eastAsia="Arial" w:hAnsi="Arial"/>
          <w:sz w:val="20"/>
          <w:szCs w:val="20"/>
        </w:rPr>
        <w:t xml:space="preserve"> darin dürfen fremde Marken tragen. Ohne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diese Trennung wechselte bei rotierenden Partner-Aktionen die Flächenfarbe im Sekundenrhythmus – auf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einem 85-Zoll-Schirm unruhig statt professionell.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Bestand und Ablage.</w:t>
      </w:r>
      <w:r>
        <w:rPr>
          <w:rFonts w:ascii="Arial" w:cs="Arial" w:eastAsia="Arial" w:hAnsi="Arial"/>
          <w:sz w:val="20"/>
          <w:szCs w:val="20"/>
        </w:rPr>
        <w:t xml:space="preserve"> Marken liegen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app-weit</w:t>
      </w:r>
      <w:r>
        <w:rPr>
          <w:rFonts w:ascii="Arial" w:cs="Arial" w:eastAsia="Arial" w:hAnsi="Arial"/>
          <w:sz w:val="20"/>
          <w:szCs w:val="20"/>
        </w:rPr>
        <w:t xml:space="preserve">, nicht im Projekt – wie die Vorlagen (4.6). Eine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Marke, die für ein Projekt angelegt wurde, steht damit allen zur Verfügung; ein Partner wird einmal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erfasst und nicht je Projekt erneut.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Ableitung.</w:t>
      </w:r>
      <w:r>
        <w:rPr>
          <w:rFonts w:ascii="Arial" w:cs="Arial" w:eastAsia="Arial" w:hAnsi="Arial"/>
          <w:sz w:val="20"/>
          <w:szCs w:val="20"/>
        </w:rPr>
        <w:t xml:space="preserve"> Eine Marke kann von einer anderen abgeleitet sein und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einzelne</w:t>
      </w:r>
      <w:r>
        <w:rPr>
          <w:rFonts w:ascii="Arial" w:cs="Arial" w:eastAsia="Arial" w:hAnsi="Arial"/>
          <w:sz w:val="20"/>
          <w:szCs w:val="20"/>
        </w:rPr>
        <w:t xml:space="preserve"> Werte überschreiben.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Ein Saison-Look setzt also nur die Farben und erbt Schriften, Logo und Abstände. Ändert sich das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Fitnessworld24-Logo, wirkt das ohne Nacharbeit in allen abgeleiteten Looks. Ohne Ableitung müsste jede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Variante alles selbst tragen – und beim nächsten Logo-Wechsel würde eine vergessen.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Zuweisung.</w:t>
      </w:r>
      <w:r>
        <w:rPr>
          <w:rFonts w:ascii="Arial" w:cs="Arial" w:eastAsia="Arial" w:hAnsi="Arial"/>
          <w:sz w:val="20"/>
          <w:szCs w:val="20"/>
        </w:rPr>
        <w:t xml:space="preserve"> Jede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Aktion</w:t>
      </w:r>
      <w:r>
        <w:rPr>
          <w:rFonts w:ascii="Arial" w:cs="Arial" w:eastAsia="Arial" w:hAnsi="Arial"/>
          <w:sz w:val="20"/>
          <w:szCs w:val="20"/>
        </w:rPr>
        <w:t xml:space="preserve"> trägt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genau eine</w:t>
      </w:r>
      <w:r>
        <w:rPr>
          <w:rFonts w:ascii="Arial" w:cs="Arial" w:eastAsia="Arial" w:hAnsi="Arial"/>
          <w:sz w:val="20"/>
          <w:szCs w:val="20"/>
        </w:rPr>
        <w:t xml:space="preserve"> Marke. Elemente ohne Aktion – also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Videos</w:t>
      </w:r>
      <w:r>
        <w:rPr>
          <w:rFonts w:ascii="Arial" w:cs="Arial" w:eastAsia="Arial" w:hAnsi="Arial"/>
          <w:sz w:val="20"/>
          <w:szCs w:val="20"/>
        </w:rPr>
        <w:t xml:space="preserve"> – tragen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keine eigene: Über sie zeichnet die Anwendung kein Logo; ihre Restflächen kommen aus der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Projekt-Standardmarke.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Die Projekt-Standardmarke ist wechselbar.</w:t>
      </w:r>
      <w:r>
        <w:rPr>
          <w:rFonts w:ascii="Arial" w:cs="Arial" w:eastAsia="Arial" w:hAnsi="Arial"/>
          <w:sz w:val="20"/>
          <w:szCs w:val="20"/>
        </w:rPr>
        <w:t xml:space="preserve"> Bedient wird das in der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Projektverwaltung</w:t>
      </w:r>
      <w:r>
        <w:rPr>
          <w:rFonts w:ascii="Arial" w:cs="Arial" w:eastAsia="Arial" w:hAnsi="Arial"/>
          <w:sz w:val="20"/>
          <w:szCs w:val="20"/>
        </w:rPr>
        <w:t xml:space="preserve"> (Reiter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[Projekte], FA-10), nicht im Marken-Editor: Die Standardmarke ist eine Eigenschaft des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Projekts</w:t>
      </w:r>
      <w:r>
        <w:rPr>
          <w:rFonts w:ascii="Arial" w:cs="Arial" w:eastAsia="Arial" w:hAnsi="Arial"/>
          <w:sz w:val="20"/>
          <w:szCs w:val="20"/>
        </w:rPr>
        <w:t xml:space="preserve">,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während der Editor den app-weiten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Bestand</w:t>
      </w:r>
      <w:r>
        <w:rPr>
          <w:rFonts w:ascii="Arial" w:cs="Arial" w:eastAsia="Arial" w:hAnsi="Arial"/>
          <w:sz w:val="20"/>
          <w:szCs w:val="20"/>
        </w:rPr>
        <w:t xml:space="preserve"> führt und keine Projekte kennt. Ein neues Projekt startet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mit der eingebauten Fitnessworld24-Marke.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Wenn eine Marke kein Logo hat</w:t>
      </w:r>
      <w:r>
        <w:rPr>
          <w:rFonts w:ascii="Arial" w:cs="Arial" w:eastAsia="Arial" w:hAnsi="Arial"/>
          <w:sz w:val="20"/>
          <w:szCs w:val="20"/>
        </w:rPr>
        <w:t xml:space="preserve"> – bei Partnern der Normalfall –, zeichnet die Anwendung einen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Ersatz</w:t>
      </w:r>
      <w:r>
        <w:rPr>
          <w:rFonts w:ascii="Arial" w:cs="Arial" w:eastAsia="Arial" w:hAnsi="Arial"/>
          <w:sz w:val="20"/>
          <w:szCs w:val="20"/>
        </w:rPr>
        <w:t xml:space="preserve">: den Markennamen auf farbigem Grund in der Akzentfarbe der Marke. Kein leerer Bereich und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kein fremdes Logo an dieser Stelle.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Löschen.</w:t>
      </w:r>
      <w:r>
        <w:rPr>
          <w:rFonts w:ascii="Arial" w:cs="Arial" w:eastAsia="Arial" w:hAnsi="Arial"/>
          <w:sz w:val="20"/>
          <w:szCs w:val="20"/>
        </w:rPr>
        <w:t xml:space="preserve"> Nur möglich, wenn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keine Aktion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keine abgeleitete Marke</w:t>
      </w:r>
      <w:r>
        <w:rPr>
          <w:rFonts w:ascii="Arial" w:cs="Arial" w:eastAsia="Arial" w:hAnsi="Arial"/>
          <w:sz w:val="20"/>
          <w:szCs w:val="20"/>
        </w:rPr>
        <w:t xml:space="preserve"> und </w:t>
      </w:r>
      <w:r>
        <w:rPr>
          <w:rFonts w:ascii="Arial" w:cs="Arial" w:eastAsia="Arial" w:hAnsi="Arial"/>
          <w:sz w:val="20"/>
          <w:szCs w:val="20"/>
        </w:rPr>
        <w:t xml:space="preserve"/>
      </w:r>
      <w:r>
        <w:rPr>
          <w:rFonts w:ascii="Arial" w:cs="Arial" w:eastAsia="Arial" w:hAnsi="Arial"/>
          <w:sz w:val="20"/>
          <w:szCs w:val="20"/>
        </w:rPr>
        <w:t xml:space="preserve">kein Projekt als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Standardmarke</w:t>
      </w:r>
      <w:r>
        <w:rPr>
          <w:rFonts w:ascii="Arial" w:cs="Arial" w:eastAsia="Arial" w:hAnsi="Arial"/>
          <w:sz w:val="20"/>
          <w:szCs w:val="20"/>
        </w:rPr>
        <w:t xml:space="preserve"/>
      </w:r>
      <w:r>
        <w:rPr>
          <w:rFonts w:ascii="Arial" w:cs="Arial" w:eastAsia="Arial" w:hAnsi="Arial"/>
          <w:sz w:val="20"/>
          <w:szCs w:val="20"/>
        </w:rPr>
        <w:t xml:space="preserve"> sie nutzt – wie bei den Vorlagen (4.6). Die dritte Bedingung ist keine Förmlichkeit: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Eine als Standardmarke geführte Marke färbt Rahmen und Restflächen; wäre sie löschbar, zeigte das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betroffene Projekt beim nächsten Render auf eine Marke, die es nicht mehr gibt – mitten im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Hauptbetrieb. Die Anwendung nennt vorher, was betroffen ist –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einschließlich der Projekte</w:t>
      </w:r>
      <w:r>
        <w:rPr>
          <w:rFonts w:ascii="Arial" w:cs="Arial" w:eastAsia="Arial" w:hAnsi="Arial"/>
          <w:sz w:val="20"/>
          <w:szCs w:val="20"/>
        </w:rPr>
        <w:t xml:space="preserve">, die die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Marke als Standard führen, damit der Nutzer weiß, wo er sie wechseln muss. Genau dafür ist die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Standardmarke wechselbar (s. „Zuweisung"): Eine Sperre, deren Grund sich nicht beseitigen lässt, wäre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eine Sackgasse. Die eingebaute Fitnessworld24-Marke ist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nie</w:t>
      </w:r>
      <w:r>
        <w:rPr>
          <w:rFonts w:ascii="Arial" w:cs="Arial" w:eastAsia="Arial" w:hAnsi="Arial"/>
          <w:sz w:val="20"/>
          <w:szCs w:val="20"/>
        </w:rPr>
        <w:t xml:space="preserve"> löschbar, weil sie der Projekt-Standard und die Basis der abgeleiteten Looks ist; </w:t>
      </w:r>
      <w:r>
        <w:rPr>
          <w:rFonts w:ascii="Arial" w:cs="Arial" w:eastAsia="Arial" w:hAnsi="Arial"/>
          <w:sz w:val="20"/>
          <w:szCs w:val="20"/>
        </w:rPr>
        <w:t xml:space="preserve"/>
      </w:r>
      <w:r>
        <w:rPr>
          <w:rFonts w:ascii="Arial" w:cs="Arial" w:eastAsia="Arial" w:hAnsi="Arial"/>
          <w:sz w:val="20"/>
          <w:szCs w:val="20"/>
        </w:rPr>
        <w:t xml:space="preserve">bearbeitbar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ist sie aber</w:t>
      </w:r>
      <w:r>
        <w:rPr>
          <w:rFonts w:ascii="Arial" w:cs="Arial" w:eastAsia="Arial" w:hAnsi="Arial"/>
          <w:sz w:val="20"/>
          <w:szCs w:val="20"/>
        </w:rPr>
        <w:t xml:space="preserve"/>
      </w:r>
      <w:r>
        <w:rPr>
          <w:rFonts w:ascii="Arial" w:cs="Arial" w:eastAsia="Arial" w:hAnsi="Arial"/>
          <w:sz w:val="20"/>
          <w:szCs w:val="20"/>
        </w:rPr>
        <w:t xml:space="preserve">, damit eine echte Änderung des Corporate Designs nicht zu einer Kopie daneben führt.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Eigene Schriften und Logos.</w:t>
      </w:r>
      <w:r>
        <w:rPr>
          <w:rFonts w:ascii="Arial" w:cs="Arial" w:eastAsia="Arial" w:hAnsi="Arial"/>
          <w:sz w:val="20"/>
          <w:szCs w:val="20"/>
        </w:rPr>
        <w:t xml:space="preserve"> Der Editor importiert beides. Die Dateien werden in den Marken-Bestand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kopiert</w:t>
      </w:r>
      <w:r>
        <w:rPr>
          <w:rFonts w:ascii="Arial" w:cs="Arial" w:eastAsia="Arial" w:hAnsi="Arial"/>
          <w:sz w:val="20"/>
          <w:szCs w:val="20"/>
        </w:rPr>
        <w:t xml:space="preserve">, die Originale bleiben unberührt (wie beim Medien-Import, FA-01). Fehlt eine importierte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Datei zur Renderzeit,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bricht der Render ab, bevor er beginnt</w:t>
      </w:r>
      <w:r>
        <w:rPr>
          <w:rFonts w:ascii="Arial" w:cs="Arial" w:eastAsia="Arial" w:hAnsi="Arial"/>
          <w:sz w:val="20"/>
          <w:szCs w:val="20"/>
        </w:rPr>
        <w:t xml:space="preserve"> – ein stiller Rückfall auf eine andere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Schrift würde den Markenbruch erst am Fernseher zeigen.</w:t>
      </w:r>
    </w:p>
    <w:p>
      <w:pPr>
        <w:pStyle w:val="Heading2"/>
      </w:pPr>
      <w:bookmarkStart w:name="_Toc16" w:id="16"/>
      <w:r>
        <w:rPr>
          <w:rFonts w:ascii="Arial" w:cs="Arial" w:eastAsia="Arial" w:hAnsi="Arial"/>
          <w:sz w:val="20"/>
          <w:szCs w:val="20"/>
        </w:rPr>
        <w:t xml:space="preserve">4.9 Ein Projekt – ein Video (FA-01)</w:t>
      </w:r>
      <w:bookmarkEnd w:id="16"/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Ein Projekt enthält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genau ein Video</w:t>
      </w:r>
      <w:r>
        <w:rPr>
          <w:rFonts w:ascii="Arial" w:cs="Arial" w:eastAsia="Arial" w:hAnsi="Arial"/>
          <w:sz w:val="20"/>
          <w:szCs w:val="20"/>
        </w:rPr>
        <w:t xml:space="preserve"> neben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beliebig vielen Aktions-Segmenten</w:t>
      </w:r>
      <w:r>
        <w:rPr>
          <w:rFonts w:ascii="Arial" w:cs="Arial" w:eastAsia="Arial" w:hAnsi="Arial"/>
          <w:sz w:val="20"/>
          <w:szCs w:val="20"/>
        </w:rPr>
        <w:t xml:space="preserve">. Das Video ist der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Hauptinhalt; die Werbung läuft sequenziell zwischen den Elementen oder parallel zum Video (4.5, FA-20).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Das ist die Grundannahme des Werkzeugs: gepflegt wird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ein</w:t>
      </w:r>
      <w:r>
        <w:rPr>
          <w:rFonts w:ascii="Arial" w:cs="Arial" w:eastAsia="Arial" w:hAnsi="Arial"/>
          <w:sz w:val="20"/>
          <w:szCs w:val="20"/>
        </w:rPr>
        <w:t xml:space="preserve"> Hauptvideo, dazu die wechselnde Werbung.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Video zuerst, Pflicht.</w:t>
      </w:r>
      <w:r>
        <w:rPr>
          <w:rFonts w:ascii="Arial" w:cs="Arial" w:eastAsia="Arial" w:hAnsi="Arial"/>
          <w:sz w:val="20"/>
          <w:szCs w:val="20"/>
        </w:rPr>
        <w:t xml:space="preserve"> Beim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Anlegen</w:t>
      </w:r>
      <w:r>
        <w:rPr>
          <w:rFonts w:ascii="Arial" w:cs="Arial" w:eastAsia="Arial" w:hAnsi="Arial"/>
          <w:sz w:val="20"/>
          <w:szCs w:val="20"/>
        </w:rPr>
        <w:t xml:space="preserve"> wird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zuerst</w:t>
      </w:r>
      <w:r>
        <w:rPr>
          <w:rFonts w:ascii="Arial" w:cs="Arial" w:eastAsia="Arial" w:hAnsi="Arial"/>
          <w:sz w:val="20"/>
          <w:szCs w:val="20"/>
        </w:rPr>
        <w:t xml:space="preserve"> das Video gewählt (nativer Datei-Dialog);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erst danach entsteht das Projekt. Bricht der Nutzer ab, entsteht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</w:t>
      </w:r>
      <w:r>
        <w:rPr>
          <w:rFonts w:ascii="Arial" w:cs="Arial" w:eastAsia="Arial" w:hAnsi="Arial"/>
          <w:sz w:val="20"/>
          <w:szCs w:val="20"/>
        </w:rPr>
        <w:t xml:space="preserve"> Projekt – ein Projekt ohne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Video gibt es nicht. Das gewählte Video wird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automatisch ans Ende der Wiedergabeliste</w:t>
      </w:r>
      <w:r>
        <w:rPr>
          <w:rFonts w:ascii="Arial" w:cs="Arial" w:eastAsia="Arial" w:hAnsi="Arial"/>
          <w:sz w:val="20"/>
          <w:szCs w:val="20"/>
        </w:rPr>
        <w:t xml:space="preserve"> gestellt.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Import im Projekt.</w:t>
      </w:r>
      <w:r>
        <w:rPr>
          <w:rFonts w:ascii="Arial" w:cs="Arial" w:eastAsia="Arial" w:hAnsi="Arial"/>
          <w:sz w:val="20"/>
          <w:szCs w:val="20"/>
        </w:rPr>
        <w:t xml:space="preserve"> Im Projekt-Editor (Reiter [Zusammenstellen]) heißt der Weg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„Video importieren"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Ersetzen statt Wechseln.</w:t>
      </w:r>
      <w:r>
        <w:rPr>
          <w:rFonts w:ascii="Arial" w:cs="Arial" w:eastAsia="Arial" w:hAnsi="Arial"/>
          <w:sz w:val="20"/>
          <w:szCs w:val="20"/>
        </w:rPr>
        <w:t xml:space="preserve"> Liegt schon ein Video vor,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ersetzt</w:t>
      </w:r>
      <w:r>
        <w:rPr>
          <w:rFonts w:ascii="Arial" w:cs="Arial" w:eastAsia="Arial" w:hAnsi="Arial"/>
          <w:sz w:val="20"/>
          <w:szCs w:val="20"/>
        </w:rPr>
        <w:t xml:space="preserve"> ein erneuter Import es – nach einer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Bestätigung</w:t>
      </w:r>
      <w:r>
        <w:rPr>
          <w:rFonts w:ascii="Arial" w:cs="Arial" w:eastAsia="Arial" w:hAnsi="Arial"/>
          <w:sz w:val="20"/>
          <w:szCs w:val="20"/>
        </w:rPr>
        <w:t xml:space="preserve">. Es gibt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keine</w:t>
      </w:r>
      <w:r>
        <w:rPr>
          <w:rFonts w:ascii="Arial" w:cs="Arial" w:eastAsia="Arial" w:hAnsi="Arial"/>
          <w:sz w:val="20"/>
          <w:szCs w:val="20"/>
        </w:rPr>
        <w:t xml:space="preserve"> Auswahl unter mehreren Videos und keinen beiläufigen „Video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austauschen"-Schalter: Ein Projekt hat genau eines. Der Import hat Dateiwirkung und ist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nicht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rückgängig zu machen (FA-21) – deshalb die Bestätigung.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Immer genau ein Video.</w:t>
      </w:r>
      <w:r>
        <w:rPr>
          <w:rFonts w:ascii="Arial" w:cs="Arial" w:eastAsia="Arial" w:hAnsi="Arial"/>
          <w:sz w:val="20"/>
          <w:szCs w:val="20"/>
        </w:rPr>
        <w:t xml:space="preserve"> Ein Projekt hat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immer</w:t>
      </w:r>
      <w:r>
        <w:rPr>
          <w:rFonts w:ascii="Arial" w:cs="Arial" w:eastAsia="Arial" w:hAnsi="Arial"/>
          <w:sz w:val="20"/>
          <w:szCs w:val="20"/>
        </w:rPr>
        <w:t xml:space="preserve"> genau ein Video; es wird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nicht gelöscht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(nur ersetzt). Es gibt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keinen</w:t>
      </w:r>
      <w:r>
        <w:rPr>
          <w:rFonts w:ascii="Arial" w:cs="Arial" w:eastAsia="Arial" w:hAnsi="Arial"/>
          <w:sz w:val="20"/>
          <w:szCs w:val="20"/>
        </w:rPr>
        <w:t xml:space="preserve"> Bedienweg zu einem zweiten Video oder zu gar keinem. Bilder bleiben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möglich – aber ausschließlich als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Motiv einer Aktion</w:t>
      </w:r>
      <w:r>
        <w:rPr>
          <w:rFonts w:ascii="Arial" w:cs="Arial" w:eastAsia="Arial" w:hAnsi="Arial"/>
          <w:sz w:val="20"/>
          <w:szCs w:val="20"/>
        </w:rPr>
        <w:t xml:space="preserve"> (4.1), nie als eigenes Listenelement.</w:t>
      </w:r>
    </w:p>
    <w:p>
      <w:pPr>
        <w:pStyle w:val="Heading1"/>
      </w:pPr>
      <w:bookmarkStart w:name="_Toc17" w:id="17"/>
      <w:r>
        <w:rPr>
          <w:rFonts w:ascii="Arial" w:cs="Arial" w:eastAsia="Arial" w:hAnsi="Arial"/>
          <w:sz w:val="20"/>
          <w:szCs w:val="20"/>
        </w:rPr>
        <w:t xml:space="preserve">5. Nicht-funktionale Anforderungen</w:t>
      </w:r>
      <w:bookmarkEnd w:id="17"/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0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ID | Anforderung | Beschreibung | Priorität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NFA-01 | Bedienbarkeit | Übersichtliche, intuitive Oberfläche, ohne technische Vorkenntnisse durch Studio-Personal bedienbar. | Muss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NFA-02 | Stabilität | Die Anwendung arbeitet zuverlässig; ein Renderlauf läuft reproduzierbar und ohne Datenverlust durch. | Muss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NFA-03 | Ausgabe-Kompatibilität | Das erzeugte Video ist mit dem Media Player des Samsung-Fernsehers kompatibel (Container/Codec: MP4, H.264 High/Level 4.0,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yuv420p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BT.709, mit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stiller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AAC-Tonspur – verbindlich in 9.2.4). | Muss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NFA-04 | USB-Kompatibilität | Die Ausgabe funktioniert von einem gängig formatierten USB-Speicher (z. B. exFAT/FAT32). | Muss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NFA-05 | Performance | Das Rendern einer üblichen Sequenz erfolgt in vertretbarer Zeit auf dem Arbeitsplatzrechner. | Soll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NFA-06 | Offline-Fähigkeit | Die Anwendung funktioniert vollständig lokal, ohne Internet- oder Serververbindung. | Muss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NFA-07 | Wartbarkeit | Klar strukturierter, dokumentierter Aufbau, damit das Tool später erweitert werden kann. | Soll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NFA-08 | Portabilität | Die Anwendung lässt sich auf einem Standard-Arbeitsplatzrechner einrichten und betreiben. | Soll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NFA-09 | Serielle Verarbeitung | Länger laufende Vorgänge (Import, Löschen, Render, Export) werden nacheinander ausgeführt; es läuft maximal ein Auftrag gleichzeitig. Das garantiert einen vorhersehbaren, konfliktfreien Ablauf. | Muss</w:t>
            </w:r>
          </w:p>
        </w:tc>
      </w:tr>
    </w:tbl>
    <w:p>
      <w:pPr>
        <w:spacing w:after="80"/>
      </w:pPr>
    </w:p>
    <w:p>
      <w:pPr>
        <w:pStyle w:val="Heading1"/>
      </w:pPr>
      <w:bookmarkStart w:name="_Toc18" w:id="18"/>
      <w:r>
        <w:rPr>
          <w:rFonts w:ascii="Arial" w:cs="Arial" w:eastAsia="Arial" w:hAnsi="Arial"/>
          <w:sz w:val="20"/>
          <w:szCs w:val="20"/>
        </w:rPr>
        <w:t xml:space="preserve">6. Technische Rahmenbedingungen (Vorschlag)</w:t>
      </w:r>
      <w:bookmarkEnd w:id="18"/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Die konkrete Technologiewahl ist nicht festgeschrieben; vorgeschlagen wird: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Render-Engine:</w:t>
      </w:r>
      <w:r>
        <w:rPr>
          <w:rFonts w:ascii="Arial" w:cs="Arial" w:eastAsia="Arial" w:hAnsi="Arial"/>
          <w:sz w:val="20"/>
          <w:szCs w:val="20"/>
        </w:rPr>
        <w:t xml:space="preserve">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ffmpeg</w:t>
      </w:r>
      <w:r>
        <w:rPr>
          <w:rFonts w:ascii="Arial" w:cs="Arial" w:eastAsia="Arial" w:hAnsi="Arial"/>
          <w:sz w:val="20"/>
          <w:szCs w:val="20"/>
        </w:rPr>
        <w:t xml:space="preserve"> für das Verketten der Clips, das Erzeugen der Aktions-Segmente (Bild/Text → Videosegment) und das Encoding der finalen MP4.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Benutzeroberfläche:</w:t>
      </w:r>
      <w:r>
        <w:rPr>
          <w:rFonts w:ascii="Arial" w:cs="Arial" w:eastAsia="Arial" w:hAnsi="Arial"/>
          <w:sz w:val="20"/>
          <w:szCs w:val="20"/>
        </w:rPr>
        <w:t xml:space="preserve"> Web- oder Desktop-Oberfläche (z. B. Browser-App oder Electron) mit Liste, Drag-and-drop-Reihenfolge und Vorschau.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Datenhaltung:</w:t>
      </w:r>
      <w:r>
        <w:rPr>
          <w:rFonts w:ascii="Arial" w:cs="Arial" w:eastAsia="Arial" w:hAnsi="Arial"/>
          <w:sz w:val="20"/>
          <w:szCs w:val="20"/>
        </w:rPr>
        <w:t xml:space="preserve"> lokale Speicherung der Projektdaten (z. B. JSON oder SQLite) sowie der importierten Medien im Dateisystem.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Zielformat der Ausgabe:</w:t>
      </w:r>
      <w:r>
        <w:rPr>
          <w:rFonts w:ascii="Arial" w:cs="Arial" w:eastAsia="Arial" w:hAnsi="Arial"/>
          <w:sz w:val="20"/>
          <w:szCs w:val="20"/>
        </w:rPr>
        <w:t xml:space="preserve"> MP4,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H.264 High / Level 4.0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1920 × 1080, 30 fps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yuv420p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BT.709</w:t>
      </w:r>
      <w:r>
        <w:rPr>
          <w:rFonts w:ascii="Arial" w:cs="Arial" w:eastAsia="Arial" w:hAnsi="Arial"/>
          <w:sz w:val="20"/>
          <w:szCs w:val="20"/>
        </w:rPr>
        <w:t xml:space="preserve">, gedeckeltes VBR (10–12 Mbit/s),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stille AAC-Tonspur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+faststart</w:t>
      </w:r>
      <w:r>
        <w:rPr>
          <w:rFonts w:ascii="Arial" w:cs="Arial" w:eastAsia="Arial" w:hAnsi="Arial"/>
          <w:sz w:val="20"/>
          <w:szCs w:val="20"/>
        </w:rPr>
        <w:t xml:space="preserve">. Verbindlich als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RenderProfile</w:t>
      </w:r>
      <w:r>
        <w:rPr>
          <w:rFonts w:ascii="Arial" w:cs="Arial" w:eastAsia="Arial" w:hAnsi="Arial"/>
          <w:sz w:val="20"/>
          <w:szCs w:val="20"/>
        </w:rPr>
        <w:t xml:space="preserve"> im Technischen Konzept 9.2.4. Die zunächst offene 4K-Option ist zugunsten von 1080p entschieden.</w:t>
      </w:r>
    </w:p>
    <w:p>
      <w:pPr>
        <w:pStyle w:val="Heading1"/>
      </w:pPr>
      <w:bookmarkStart w:name="_Toc19" w:id="19"/>
      <w:r>
        <w:rPr>
          <w:rFonts w:ascii="Arial" w:cs="Arial" w:eastAsia="Arial" w:hAnsi="Arial"/>
          <w:sz w:val="20"/>
          <w:szCs w:val="20"/>
        </w:rPr>
        <w:t xml:space="preserve">7. Wiedergabe am Fernseher (Demo-Modus)</w:t>
      </w:r>
      <w:bookmarkEnd w:id="19"/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Die Wiedergabe der fertigen MP4 erfolgt über den eingebauten Media Player. Folgende Punkte sind für einen stabilen Dauerbetrieb relevant: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Wiederholung:</w:t>
      </w:r>
      <w:r>
        <w:rPr>
          <w:rFonts w:ascii="Arial" w:cs="Arial" w:eastAsia="Arial" w:hAnsi="Arial"/>
          <w:sz w:val="20"/>
          <w:szCs w:val="20"/>
        </w:rPr>
        <w:t xml:space="preserve"> Quelle USB wählen, die gewünschte Datei starten und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„Wiederholen: eine Datei" („Repeat One")</w:t>
      </w:r>
      <w:r>
        <w:rPr>
          <w:rFonts w:ascii="Arial" w:cs="Arial" w:eastAsia="Arial" w:hAnsi="Arial"/>
          <w:sz w:val="20"/>
          <w:szCs w:val="20"/>
        </w:rPr>
        <w:t xml:space="preserve"> aktivieren, damit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genau dieses</w:t>
      </w:r>
      <w:r>
        <w:rPr>
          <w:rFonts w:ascii="Arial" w:cs="Arial" w:eastAsia="Arial" w:hAnsi="Arial"/>
          <w:sz w:val="20"/>
          <w:szCs w:val="20"/>
        </w:rPr>
        <w:t xml:space="preserve"> Video als Endlosschleife läuft.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Warum nicht „Repeat All":</w:t>
      </w:r>
      <w:r>
        <w:rPr>
          <w:rFonts w:ascii="Arial" w:cs="Arial" w:eastAsia="Arial" w:hAnsi="Arial"/>
          <w:sz w:val="20"/>
          <w:szCs w:val="20"/>
        </w:rPr>
        <w:t xml:space="preserve"> Liegen mehrere Ausgabedateien auf dem Speicher (FA-22), würde „Repeat All" den Ordner durchlaufen und bei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jedem</w:t>
      </w:r>
      <w:r>
        <w:rPr>
          <w:rFonts w:ascii="Arial" w:cs="Arial" w:eastAsia="Arial" w:hAnsi="Arial"/>
          <w:sz w:val="20"/>
          <w:szCs w:val="20"/>
        </w:rPr>
        <w:t xml:space="preserve"> Dateiwechsel kurz die Bedienleiste zeigen (Risiko R-04). Genau das soll die eine durchgehende Datei je Schleife vermeiden.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Demo-/Store-Modus:</w:t>
      </w:r>
      <w:r>
        <w:rPr>
          <w:rFonts w:ascii="Arial" w:cs="Arial" w:eastAsia="Arial" w:hAnsi="Arial"/>
          <w:sz w:val="20"/>
          <w:szCs w:val="20"/>
        </w:rPr>
        <w:t xml:space="preserve"> Über den Store-Modus (mit deaktiviertem Demo-Overlay/E-POP) kann der Fernseher die USB-Schleife nach dem Einschalten automatisch starten. Dieses Verhalten ist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modell- und firmwareabhängig und am vorhandenen Gerät zu verifizieren</w:t>
      </w:r>
      <w:r>
        <w:rPr>
          <w:rFonts w:ascii="Arial" w:cs="Arial" w:eastAsia="Arial" w:hAnsi="Arial"/>
          <w:sz w:val="20"/>
          <w:szCs w:val="20"/>
        </w:rPr>
        <w:t xml:space="preserve"> (siehe Risiken).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Energieoptionen:</w:t>
      </w:r>
      <w:r>
        <w:rPr>
          <w:rFonts w:ascii="Arial" w:cs="Arial" w:eastAsia="Arial" w:hAnsi="Arial"/>
          <w:sz w:val="20"/>
          <w:szCs w:val="20"/>
        </w:rPr>
        <w:t xml:space="preserve"> Automatisches Ausschalten, Energiesparmodus und Bildschirmschoner sind zu deaktivieren, damit der Loop nicht unterbrochen wird.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Aktualisierung der Inhalte:</w:t>
      </w:r>
      <w:r>
        <w:rPr>
          <w:rFonts w:ascii="Arial" w:cs="Arial" w:eastAsia="Arial" w:hAnsi="Arial"/>
          <w:sz w:val="20"/>
          <w:szCs w:val="20"/>
        </w:rPr>
        <w:t xml:space="preserve"> Inhalte werden aktualisiert, indem die MP4 auf dem USB-Speicher durch eine neue Version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gleichen Namens</w:t>
      </w:r>
      <w:r>
        <w:rPr>
          <w:rFonts w:ascii="Arial" w:cs="Arial" w:eastAsia="Arial" w:hAnsi="Arial"/>
          <w:sz w:val="20"/>
          <w:szCs w:val="20"/>
        </w:rPr>
        <w:t xml:space="preserve"> ersetzt wird. Behält die Datei ihren Namen, bleibt die am Fernseher eingestellte Auswahl gültig; ein neuer Name erfordert, die Datei am Gerät erneut auszuwählen.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Mehrere Dateien auf dem Speicher:</w:t>
      </w:r>
      <w:r>
        <w:rPr>
          <w:rFonts w:ascii="Arial" w:cs="Arial" w:eastAsia="Arial" w:hAnsi="Arial"/>
          <w:sz w:val="20"/>
          <w:szCs w:val="20"/>
        </w:rPr>
        <w:t xml:space="preserve"> Zulässig (FA-22). Das Personal wählt die gewünschte Datei am Gerät aus. Je mehr Dateien, desto größer die Verwechslungsgefahr – sprechende Namen helfen.</w:t>
      </w:r>
    </w:p>
    <w:p>
      <w:pPr>
        <w:pStyle w:val="Heading1"/>
      </w:pPr>
      <w:bookmarkStart w:name="_Toc20" w:id="20"/>
      <w:r>
        <w:rPr>
          <w:rFonts w:ascii="Arial" w:cs="Arial" w:eastAsia="Arial" w:hAnsi="Arial"/>
          <w:sz w:val="20"/>
          <w:szCs w:val="20"/>
        </w:rPr>
        <w:t xml:space="preserve">8. Abgrenzung (Out of Scope)</w:t>
      </w:r>
      <w:bookmarkEnd w:id="20"/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Nicht Bestandteil der ersten Version: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Entwicklung und Deployment einer App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direkt auf dem Fernseher</w:t>
      </w:r>
      <w:r>
        <w:rPr>
          <w:rFonts w:ascii="Arial" w:cs="Arial" w:eastAsia="Arial" w:hAnsi="Arial"/>
          <w:sz w:val="20"/>
          <w:szCs w:val="20"/>
        </w:rPr>
        <w:t xml:space="preserve"> (Tizen/Smart-TV-App).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Cloud-Anbindung, Netzwerk-Synchronisation oder Fernverwaltung.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Mehrbenutzerbetrieb bzw. gleichzeitige Bearbeitung.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Zeit-/Kalendersteuerung (Scheduling) der Wiedergabe.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Verwaltung mehrerer Standorte/Bildschirme von zentraler Stelle.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Automatische Verteilung des Videos (außer Ablage auf USB).</w:t>
      </w:r>
    </w:p>
    <w:p>
      <w:pPr>
        <w:pStyle w:val="Heading1"/>
      </w:pPr>
      <w:bookmarkStart w:name="_Toc21" w:id="21"/>
      <w:r>
        <w:rPr>
          <w:rFonts w:ascii="Arial" w:cs="Arial" w:eastAsia="Arial" w:hAnsi="Arial"/>
          <w:sz w:val="20"/>
          <w:szCs w:val="20"/>
        </w:rPr>
        <w:t xml:space="preserve">9. Annahmen</w:t>
      </w:r>
      <w:bookmarkEnd w:id="21"/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Es ist zunächst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ein</w:t>
      </w:r>
      <w:r>
        <w:rPr>
          <w:rFonts w:ascii="Arial" w:cs="Arial" w:eastAsia="Arial" w:hAnsi="Arial"/>
          <w:sz w:val="20"/>
          <w:szCs w:val="20"/>
        </w:rPr>
        <w:t xml:space="preserve"> Studio-Bildschirm zu bespielen (Prototyp/erste Ausbaustufe).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Die Inhalte (Videos, Produktinfos, Bilder) liegen in verwertbarer Form vor bzw. werden vom Studio bereitgestellt.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Der Fernseher verbleibt im Studio dauerhaft eingeschaltet bzw. wird täglich von Personal eingeschaltet.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Das Ausgabevideo wird voraussichtlich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ohne Ton</w:t>
      </w:r>
      <w:r>
        <w:rPr>
          <w:rFonts w:ascii="Arial" w:cs="Arial" w:eastAsia="Arial" w:hAnsi="Arial"/>
          <w:sz w:val="20"/>
          <w:szCs w:val="20"/>
        </w:rPr>
        <w:t xml:space="preserve"> (stummgeschaltet) wiedergegeben.</w:t>
      </w:r>
    </w:p>
    <w:p>
      <w:pPr>
        <w:pStyle w:val="Heading1"/>
      </w:pPr>
      <w:bookmarkStart w:name="_Toc22" w:id="22"/>
      <w:r>
        <w:rPr>
          <w:rFonts w:ascii="Arial" w:cs="Arial" w:eastAsia="Arial" w:hAnsi="Arial"/>
          <w:sz w:val="20"/>
          <w:szCs w:val="20"/>
        </w:rPr>
        <w:t xml:space="preserve">10. Risiken und offene Punkte</w:t>
      </w:r>
      <w:bookmarkEnd w:id="22"/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0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ID | Thema | Beschreibung / zu klären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R-01 | Auto-Start im Demo-Modus | Ob der konkrete Fernseher (UE85AU7170, FW T-KSU2EDEUC-2111.1) die USB-Schleife nach dem Einschalten automatisch startet, muss am Gerät getestet werden.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R-02 | Manueller Neustart | Ohne funktionierenden Auto-Start muss der Loop nach Stromausfall/Einschalten manuell gestartet werden – Ablauf für das Personal definieren.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R-03 | Codec-/Format-Kompatibilität | Konkrete Encoding-Parameter sind am Gerät zu verifizieren (Auflösung, Bitrate, Audiospur).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R-04 | Steuerleisten-Einblendung | Beim Wiederholen kann sich kurz eine Bedienleiste einblenden; durch eine einzige lange MP4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je Schleife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wird dies minimiert.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Verschärft durch FA-22: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Liegen mehrere Dateien auf dem Speicher, muss am Gerät „Repeat One" (nicht „Repeat All") eingestellt sein – sonst tritt der Effekt bei jedem Dateiwechsel auf (Abschnitt 7).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R-05 | Energie-/Timeout-Verhalten | Energiespar- und Abschalt-Einstellungen müssen korrekt gesetzt sein, damit die Schleife nicht abbricht.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R-06 | Ton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ENTSCHIEDEN: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Die Ausgabe ist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still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enthält aber eine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stille AAC-Tonspur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– manche Player/TVs erwarten eine Audiospur und verhalten sich bei rein-Video-MP4 eigenartig. Verbindlich im Technischen Konzept 9.2.4.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R-07 | Fremdschriften und Lizenzen | Die vier mitgelieferten Schriften sind bewusst frei lizenziert (OFL). Für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importierte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Schriften (FA-24) trägt der Nutzer die Nutzungsrechte – die Anwendung brennt sie in ein Video ein, das weitergegeben und öffentlich gezeigt wird. Vor dem Import einer Fremdschrift ist die Lizenz zu prüfen.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R-08 | Unlesbarer Kontrast | Die Akzentfarbe einer Aktion ist ab FA-24 ein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freier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Farbwert (vorher nur Auswahl aus der Palette). Damit sind Kombinationen möglich, die am 85-Zoll-Schirm aus mehreren Metern unlesbar sind. Gegenmaßnahme ist die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Warnung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(FA-24), nicht die Sperre – Partner-Hausfarben sollen nicht an einem Schwellenwert scheitern. Die Restverantwortung bleibt beim Nutzer; maßgeblich ist die Kontrolle am Gerät.</w:t>
            </w:r>
          </w:p>
        </w:tc>
      </w:tr>
    </w:tbl>
    <w:p>
      <w:pPr>
        <w:spacing w:after="80"/>
      </w:pPr>
    </w:p>
    <w:p>
      <w:pPr>
        <w:pStyle w:val="Heading1"/>
      </w:pPr>
      <w:bookmarkStart w:name="_Toc23" w:id="23"/>
      <w:r>
        <w:rPr>
          <w:rFonts w:ascii="Arial" w:cs="Arial" w:eastAsia="Arial" w:hAnsi="Arial"/>
          <w:sz w:val="20"/>
          <w:szCs w:val="20"/>
        </w:rPr>
        <w:t xml:space="preserve">11. Ausbaustufen (Roadmap, optional)</w:t>
      </w:r>
      <w:bookmarkEnd w:id="23"/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Bei späterem Bedarf ohne Architekturbruch erweiterbar: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Dedizierter Player (z. B. Raspberry Pi):</w:t>
      </w:r>
      <w:r>
        <w:rPr>
          <w:rFonts w:ascii="Arial" w:cs="Arial" w:eastAsia="Arial" w:hAnsi="Arial"/>
          <w:sz w:val="20"/>
          <w:szCs w:val="20"/>
        </w:rPr>
        <w:t xml:space="preserve"> ermöglicht echten Auto-Start beim Booten und automatische Wiederherstellung nach Absturz.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Mehrere Studios / zentrale Verwaltung:</w:t>
      </w:r>
      <w:r>
        <w:rPr>
          <w:rFonts w:ascii="Arial" w:cs="Arial" w:eastAsia="Arial" w:hAnsi="Arial"/>
          <w:sz w:val="20"/>
          <w:szCs w:val="20"/>
        </w:rPr>
        <w:t xml:space="preserve"> zentrale Inhaltsverwaltung mit Verteilung an mehrere Bildschirme.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Scheduling:</w:t>
      </w:r>
      <w:r>
        <w:rPr>
          <w:rFonts w:ascii="Arial" w:cs="Arial" w:eastAsia="Arial" w:hAnsi="Arial"/>
          <w:sz w:val="20"/>
          <w:szCs w:val="20"/>
        </w:rPr>
        <w:t xml:space="preserve"> zeit- oder tagesabhängige Steuerung der angezeigten Inhalte.</w:t>
      </w:r>
    </w:p>
    <w:p>
      <w:pPr>
        <w:pStyle w:val="Heading1"/>
      </w:pPr>
      <w:bookmarkStart w:name="_Toc24" w:id="24"/>
      <w:r>
        <w:rPr>
          <w:rFonts w:ascii="Arial" w:cs="Arial" w:eastAsia="Arial" w:hAnsi="Arial"/>
          <w:sz w:val="20"/>
          <w:szCs w:val="20"/>
        </w:rPr>
        <w:t xml:space="preserve">12. Akzeptanzkriterien</w:t>
      </w:r>
      <w:bookmarkEnd w:id="24"/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Die erste Version gilt als erfolgreich, wenn: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0"/>
          <w:szCs w:val="20"/>
        </w:rPr>
        <w:t xml:space="preserve">Ein Video sowie Produkte/Aktionen über die Oberfläche importiert/angelegt, bearbeitet, gelöscht und in der Reihenfolge angeordnet werden können (FA-01 bis FA-05).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0"/>
          <w:szCs w:val="20"/>
        </w:rPr>
        <w:t xml:space="preserve">Aus der Zusammenstellung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eine durchgehende</w:t>
      </w:r>
      <w:r>
        <w:rPr>
          <w:rFonts w:ascii="Arial" w:cs="Arial" w:eastAsia="Arial" w:hAnsi="Arial"/>
          <w:sz w:val="20"/>
          <w:szCs w:val="20"/>
        </w:rPr>
        <w:t xml:space="preserve"> abspielbare MP4-Datei erzeugt und auf einen USB-Speicher exportiert wird (FA-08, FA-09).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0"/>
          <w:szCs w:val="20"/>
        </w:rPr>
        <w:t xml:space="preserve">Diese MP4 auf dem Studio-Fernseher als Endlosschleife wiedergegeben wird (Abschnitt 7).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0"/>
          <w:szCs w:val="20"/>
        </w:rPr>
        <w:t xml:space="preserve">Die Bedienung ohne technische Vorkenntnisse möglich ist (NFA-01).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0"/>
          <w:szCs w:val="20"/>
        </w:rPr>
        <w:t xml:space="preserve">Länger laufende Vorgänge (Import, Render, Export) in der Prozessübersicht sichtbar sind und fehlgeschlagene Vorgänge erneut ausgeführt werden können (FA-16, FA-17).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0"/>
          <w:szCs w:val="20"/>
        </w:rPr>
        <w:t xml:space="preserve">Änderungen gehen nicht verloren: die Anwendung speichert fortlaufend automatisch und stellt beim Start das zuletzt aktive Projekt wieder her (FA-15, NFA-02).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0"/>
          <w:szCs w:val="20"/>
        </w:rPr>
        <w:t xml:space="preserve">Fehlende Medien werden vor dem Rendern erkannt und der Nutzer wird geführt, bis alle kaputten Elemente behoben sind (FA-19).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0"/>
          <w:szCs w:val="20"/>
        </w:rPr>
        <w:t xml:space="preserve">Werbeinhalte können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parallel</w:t>
      </w:r>
      <w:r>
        <w:rPr>
          <w:rFonts w:ascii="Arial" w:cs="Arial" w:eastAsia="Arial" w:hAnsi="Arial"/>
          <w:sz w:val="20"/>
          <w:szCs w:val="20"/>
        </w:rPr>
        <w:t xml:space="preserve"> während eines Videos als Band unten angezeigt werden, mit mehreren rotierenden Aktionen (FA-20, Abschnitt 4.5).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0"/>
          <w:szCs w:val="20"/>
        </w:rPr>
        <w:t xml:space="preserve">Ein Projekt kann mehrere benannte Ausgabedateien vorhalten; erneutes Rendern unter demselben Namen ersetzt die vorige Fassung, ohne sie bei einem Fehlschlag zu beschädigen (FA-22, Abschnitt 4.7).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0"/>
          <w:szCs w:val="20"/>
        </w:rPr>
        <w:t xml:space="preserve">Eine Aktion kann eine andere als die eingebaute Marke tragen; das gerenderte Video zeigt deren Logo und Farben, während Band-Hintergrund und Restflächen in der Projekt-Standardmarke bleiben; diese Standardmarke lässt sich in der Projektverwaltung wechseln (FA-23, FA-24, Abschnitt 4.8).</w:t>
      </w:r>
    </w:p>
    <w:p>
      <w:pPr>
        <w:pStyle w:val="Heading1"/>
      </w:pPr>
      <w:bookmarkStart w:name="_Toc25" w:id="25"/>
      <w:r>
        <w:rPr>
          <w:rFonts w:ascii="Arial" w:cs="Arial" w:eastAsia="Arial" w:hAnsi="Arial"/>
          <w:sz w:val="20"/>
          <w:szCs w:val="20"/>
        </w:rPr>
        <w:t xml:space="preserve">13. Glossar</w:t>
      </w:r>
      <w:bookmarkEnd w:id="25"/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Digital Signage:</w:t>
      </w:r>
      <w:r>
        <w:rPr>
          <w:rFonts w:ascii="Arial" w:cs="Arial" w:eastAsia="Arial" w:hAnsi="Arial"/>
          <w:sz w:val="20"/>
          <w:szCs w:val="20"/>
        </w:rPr>
        <w:t xml:space="preserve"> Digitale Beschilderung – computergesteuerte Anzeige von Inhalten auf Bildschirmen.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Aktions-Segment:</w:t>
      </w:r>
      <w:r>
        <w:rPr>
          <w:rFonts w:ascii="Arial" w:cs="Arial" w:eastAsia="Arial" w:hAnsi="Arial"/>
          <w:sz w:val="20"/>
          <w:szCs w:val="20"/>
        </w:rPr>
        <w:t xml:space="preserve"> Aus einem Produkt/einer Aktion erzeugter Video- oder Bildabschnitt mit fester Anzeigedauer.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Rendering:</w:t>
      </w:r>
      <w:r>
        <w:rPr>
          <w:rFonts w:ascii="Arial" w:cs="Arial" w:eastAsia="Arial" w:hAnsi="Arial"/>
          <w:sz w:val="20"/>
          <w:szCs w:val="20"/>
        </w:rPr>
        <w:t xml:space="preserve"> Erzeugen der finalen Videodatei aus den zusammengestellten Einzelelementen.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Demo-/Store-Modus:</w:t>
      </w:r>
      <w:r>
        <w:rPr>
          <w:rFonts w:ascii="Arial" w:cs="Arial" w:eastAsia="Arial" w:hAnsi="Arial"/>
          <w:sz w:val="20"/>
          <w:szCs w:val="20"/>
        </w:rPr>
        <w:t xml:space="preserve"> Betriebsmodus des Fernsehers, der u. a. die automatische USB-Wiedergabe ermöglicht.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Split-Screen:</w:t>
      </w:r>
      <w:r>
        <w:rPr>
          <w:rFonts w:ascii="Arial" w:cs="Arial" w:eastAsia="Arial" w:hAnsi="Arial"/>
          <w:sz w:val="20"/>
          <w:szCs w:val="20"/>
        </w:rPr>
        <w:t xml:space="preserve"> Hauptbetriebsart – das Video läuft verkleinert oben, darunter ein Werbeband; nichts wird verdeckt (4.5).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Einblendung:</w:t>
      </w:r>
      <w:r>
        <w:rPr>
          <w:rFonts w:ascii="Arial" w:cs="Arial" w:eastAsia="Arial" w:hAnsi="Arial"/>
          <w:sz w:val="20"/>
          <w:szCs w:val="20"/>
        </w:rPr>
        <w:t xml:space="preserve"> Parallele Anzeige, bei der das Video vollflächig bleibt und das Werbeband darüber liegt (verdeckt den unteren Bildbereich).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Werbeband (Band):</w:t>
      </w:r>
      <w:r>
        <w:rPr>
          <w:rFonts w:ascii="Arial" w:cs="Arial" w:eastAsia="Arial" w:hAnsi="Arial"/>
          <w:sz w:val="20"/>
          <w:szCs w:val="20"/>
        </w:rPr>
        <w:t xml:space="preserve"> Der schmale Bereich mit Werbeinhalt bei Split-Screen bzw. Einblendung; seine Höhe legt die Vorlage fest.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Vorlage:</w:t>
      </w:r>
      <w:r>
        <w:rPr>
          <w:rFonts w:ascii="Arial" w:cs="Arial" w:eastAsia="Arial" w:hAnsi="Arial"/>
          <w:sz w:val="20"/>
          <w:szCs w:val="20"/>
        </w:rPr>
        <w:t xml:space="preserve"> Datengetriebene Layout-Definition aus Zonen (feste Markenzonen + freie Zonen). Ihre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Art</w:t>
      </w:r>
      <w:r>
        <w:rPr>
          <w:rFonts w:ascii="Arial" w:cs="Arial" w:eastAsia="Arial" w:hAnsi="Arial"/>
          <w:sz w:val="20"/>
          <w:szCs w:val="20"/>
        </w:rPr>
        <w:t xml:space="preserve"> bestimmt, ob sie ein vollflächiges Segment, ein Split-Screen-Band oder eine Einblendung beschreibt.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Arbeitskopie:</w:t>
      </w:r>
      <w:r>
        <w:rPr>
          <w:rFonts w:ascii="Arial" w:cs="Arial" w:eastAsia="Arial" w:hAnsi="Arial"/>
          <w:sz w:val="20"/>
          <w:szCs w:val="20"/>
        </w:rPr>
        <w:t xml:space="preserve"> Bearbeitungsstand einer Vorlage. Wird automatisch gesichert, verändert die genutzte Vorlage aber erst beim expliziten Speichern (4.6).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Auftrag / Auftrags-Queue:</w:t>
      </w:r>
      <w:r>
        <w:rPr>
          <w:rFonts w:ascii="Arial" w:cs="Arial" w:eastAsia="Arial" w:hAnsi="Arial"/>
          <w:sz w:val="20"/>
          <w:szCs w:val="20"/>
        </w:rPr>
        <w:t xml:space="preserve"> Ein länger laufender oder dateiverändernder Vorgang (Import, Löschen, Render, Export) wird als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Auftrag</w:t>
      </w:r>
      <w:r>
        <w:rPr>
          <w:rFonts w:ascii="Arial" w:cs="Arial" w:eastAsia="Arial" w:hAnsi="Arial"/>
          <w:sz w:val="20"/>
          <w:szCs w:val="20"/>
        </w:rPr>
        <w:t xml:space="preserve"> in einer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Warteschlange</w:t>
      </w:r>
      <w:r>
        <w:rPr>
          <w:rFonts w:ascii="Arial" w:cs="Arial" w:eastAsia="Arial" w:hAnsi="Arial"/>
          <w:sz w:val="20"/>
          <w:szCs w:val="20"/>
        </w:rPr>
        <w:t xml:space="preserve"> (Queue) geführt. Aufträge werden nacheinander abgearbeitet und sind für den Nutzer sichtbar (laufend, anstehend, fehlgeschlagen).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60" w:hanging="260"/>
      </w:pPr>
    </w:lvl>
    <w:lvl w:ilvl="1" w:tentative="1">
      <w:start w:val="1"/>
      <w:numFmt w:val="bullet"/>
      <w:lvlText w:val="–"/>
      <w:lvlJc w:val="left"/>
      <w:pPr>
        <w:ind w:left="900" w:hanging="2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Arial" w:cs="Arial" w:eastAsia="Arial" w:hAnsi="Arial"/>
      <w:b/>
      <w:bCs/>
      <w:color w:val="202020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Arial" w:cs="Arial" w:eastAsia="Arial" w:hAnsi="Arial"/>
      <w:b/>
      <w:bCs/>
      <w:color w:val="202020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80" w:before="180"/>
      <w:outlineLvl w:val="2"/>
    </w:pPr>
    <w:rPr>
      <w:rFonts w:ascii="Arial" w:cs="Arial" w:eastAsia="Arial" w:hAnsi="Arial"/>
      <w:b/>
      <w:bCs/>
      <w:color w:val="971316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image" Target="media/2df94c47af50f7913e654cf2e632c8f7730d42d6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2026-10-15T14:08:28.248Z</dcterms:created>
  <dcterms:modified xsi:type="dcterms:W3CDTF">2026-10-15T14:08:28.249Z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