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Anforderungsdokument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Auftraggeber:</w:t>
      </w:r>
      <w:r>
        <w:rPr>
          <w:rFonts w:ascii="Arial" w:cs="Arial" w:eastAsia="Arial" w:hAnsi="Arial"/>
          <w:sz w:val="20"/>
          <w:szCs w:val="20"/>
        </w:rPr>
        <w:t xml:space="preserve">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Bearbeitung:</w:t>
      </w:r>
      <w:r>
        <w:rPr>
          <w:rFonts w:ascii="Arial" w:cs="Arial" w:eastAsia="Arial" w:hAnsi="Arial"/>
          <w:sz w:val="20"/>
          <w:szCs w:val="20"/>
        </w:rPr>
        <w:t xml:space="preserve"> Niklas Rist, Berufspraktikum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10.08.2026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1.3 (Entwurf)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Abstimmung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Einleitung und Zielsetzung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Rahmen des Berufspraktikums bei der Baller Gruppe wird ein Digital-Signage-Tool für das Fitnessstudio der Gruppe konzipiert und entwickelt. Ziel ist eine moderne, flexibel einsetzbare Softwarelösung, mit der Produktwerbung, studiointerne Angebote und sportbezogene Videoinhalte zentral verwaltet und auf dem Studio-Bildschirm professionell ausgespielt werden können.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Kern des Werkzeugs ist eine intern genutzte Anwendung, mit der Mitarbeitende verschiedene Medieninhalte (Videos sowie Produkte/Aktionen) strukturiert pflegen, in eine gewünschte Reihenfolge bringen und daraus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einziges, fertiges Ausgabevideo</w:t>
      </w:r>
      <w:r>
        <w:rPr>
          <w:rFonts w:ascii="Arial" w:cs="Arial" w:eastAsia="Arial" w:hAnsi="Arial"/>
          <w:sz w:val="20"/>
          <w:szCs w:val="20"/>
        </w:rPr>
        <w:t xml:space="preserve"> erzeugen. Dieses Video wird auf einem USB-Speicher abgelegt und am Studio-Fernseher als Endlosschleife wiedergegeben.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Fokus stehen eine intuitive Bedienbarkeit, eine stabile Systemstruktur sowie eine flexible und visuell ansprechende Ausspielung der Inhalte im Studioalltag.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Ausgangslage und Rahmenbedingungen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2.1 Fachlicher Kontext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Anzuzeigen sind drei Arten von Inhalten: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Produktwerbung</w:t>
      </w:r>
      <w:r>
        <w:rPr>
          <w:rFonts w:ascii="Arial" w:cs="Arial" w:eastAsia="Arial" w:hAnsi="Arial"/>
          <w:sz w:val="20"/>
          <w:szCs w:val="20"/>
        </w:rPr>
        <w:t xml:space="preserve"> – beworbene Produkte des Studios bzw. der Gruppe.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Studiointerne Angebote / Aktionen</w:t>
      </w:r>
      <w:r>
        <w:rPr>
          <w:rFonts w:ascii="Arial" w:cs="Arial" w:eastAsia="Arial" w:hAnsi="Arial"/>
          <w:sz w:val="20"/>
          <w:szCs w:val="20"/>
        </w:rPr>
        <w:t xml:space="preserve"> – zeitlich begrenzte Aktionen, Hinweise, Informationen.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Sportbezogene Videoinhalte</w:t>
      </w:r>
      <w:r>
        <w:rPr>
          <w:rFonts w:ascii="Arial" w:cs="Arial" w:eastAsia="Arial" w:hAnsi="Arial"/>
          <w:sz w:val="20"/>
          <w:szCs w:val="20"/>
        </w:rPr>
        <w:t xml:space="preserve"> – bestehende Videoclips (z. B. Übungen, Imagevideos).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2.2 Hardware-Umgebung (Wiedergabegerät)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erfolgt auf einem vorhandenen Consumer-Fernseher. Es 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zusätzliche Abspiel-Hardware (z. B. Mediaplayer, Mini-PC) zur Verfügung. Die Inhalte werden über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USB-Speicher</w:t>
      </w:r>
      <w:r>
        <w:rPr>
          <w:rFonts w:ascii="Arial" w:cs="Arial" w:eastAsia="Arial" w:hAnsi="Arial"/>
          <w:sz w:val="20"/>
          <w:szCs w:val="20"/>
        </w:rPr>
        <w:t xml:space="preserve"> bereitgestellt und über den integrierten Media Player des Fernsehers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</w:t>
      </w:r>
      <w:r>
        <w:rPr>
          <w:rFonts w:ascii="Arial" w:cs="Arial" w:eastAsia="Arial" w:hAnsi="Arial"/>
          <w:sz w:val="20"/>
          <w:szCs w:val="20"/>
        </w:rPr>
        <w:t xml:space="preserve"> als Schleife abgespielt.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Merkmal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 (MN) | UE85AU7170UXXN (85", 4K UHD, Tizen)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Seriennummer (SN) | 0EAS3SUT800009L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 (FW) | T-KSU2EDEUC-2111.1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Firmware-Paket (FC) | SWU-OU_T-KSU2EDEUC_2111_221104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Modell-ID (MI) | T-KSU2EDEUC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 (LS) | EU_BENELUX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Geräte-ID (DI) | MTCAXEUHRAU3G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MAC-Adresse (MA) | 04:B9:E3:F6:E4:80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Empfohlene Ausgabeauflösung | 3840 × 2160 (4K) bzw. 1920 × 1080 als Fallback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2.3 Organisatorische Rahmenbedingungen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intern</w:t>
      </w:r>
      <w:r>
        <w:rPr>
          <w:rFonts w:ascii="Arial" w:cs="Arial" w:eastAsia="Arial" w:hAnsi="Arial"/>
          <w:sz w:val="20"/>
          <w:szCs w:val="20"/>
        </w:rPr>
        <w:t xml:space="preserve"> genutzt; es wird maximal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Nutzer gleichzeitig</w:t>
      </w:r>
      <w:r>
        <w:rPr>
          <w:rFonts w:ascii="Arial" w:cs="Arial" w:eastAsia="Arial" w:hAnsi="Arial"/>
          <w:sz w:val="20"/>
          <w:szCs w:val="20"/>
        </w:rPr>
        <w:t xml:space="preserve"> mit dem Tool arbeiten.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Netzwerk- oder Cloud-Anbindung</w:t>
      </w:r>
      <w:r>
        <w:rPr>
          <w:rFonts w:ascii="Arial" w:cs="Arial" w:eastAsia="Arial" w:hAnsi="Arial"/>
          <w:sz w:val="20"/>
          <w:szCs w:val="20"/>
        </w:rPr>
        <w:t xml:space="preserve"> erforderlich; das Tool arbeitet lokal/offline.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läuft auf einem Arbeitsplatzrechner (Laptop),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auf dem Fernseher.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Systemüberblick / Lösungskonzept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System ist bewusst zweigeteilt, um die Einschränkungen des Consumer-Fernsehers zu umgehen: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Management- und Render-Tool (auf dem Laptop):</w:t>
      </w:r>
      <w:r>
        <w:rPr>
          <w:rFonts w:ascii="Arial" w:cs="Arial" w:eastAsia="Arial" w:hAnsi="Arial"/>
          <w:sz w:val="20"/>
          <w:szCs w:val="20"/>
        </w:rPr>
        <w:t xml:space="preserve"> Verwaltung von Videos und Produkten/Aktionen, Festlegung der Reihenfolge, Rendering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einer durchgehenden MP4-Datei je Lauf</w:t>
      </w:r>
      <w:r>
        <w:rPr>
          <w:rFonts w:ascii="Arial" w:cs="Arial" w:eastAsia="Arial" w:hAnsi="Arial"/>
          <w:sz w:val="20"/>
          <w:szCs w:val="20"/>
        </w:rPr>
        <w:t xml:space="preserve">, Ablage auf USB. Ein Projekt kann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solche Ausgabedateien</w:t>
      </w:r>
      <w:r>
        <w:rPr>
          <w:rFonts w:ascii="Arial" w:cs="Arial" w:eastAsia="Arial" w:hAnsi="Arial"/>
          <w:sz w:val="20"/>
          <w:szCs w:val="20"/>
        </w:rPr>
        <w:t xml:space="preserve"> unter frei gewählten Namen vorhalten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Wiedergabe (am Fernseher):</w:t>
      </w:r>
      <w:r>
        <w:rPr>
          <w:rFonts w:ascii="Arial" w:cs="Arial" w:eastAsia="Arial" w:hAnsi="Arial"/>
          <w:sz w:val="20"/>
          <w:szCs w:val="20"/>
        </w:rPr>
        <w:t xml:space="preserve"> Der Fernseher gibt die fertige MP4 vom USB-Speicher im Demo-/Store-Modus als Endlosschleife aus.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[Laptop: Management- &amp; Render-Tool]  --rendert--&gt;  [benannte MP4]  --kopiert--&gt;  [USB-Stick]  --steckt in--&gt;  [TV: Datei wählen, Endlosschleife]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Entkopplung:</w:t>
      </w:r>
      <w:r>
        <w:rPr>
          <w:rFonts w:ascii="Arial" w:cs="Arial" w:eastAsia="Arial" w:hAnsi="Arial"/>
          <w:sz w:val="20"/>
          <w:szCs w:val="20"/>
        </w:rPr>
        <w:t xml:space="preserve"> Eine eigene App direkt auf dem Fernseher ist für den Dauerbetrieb ungeeignet, da Consumer-Geräte sideloadete Apps nicht automatisch beim Booten starten, sich nach Abstürzen nicht selbst wiederherstellen und durch Firmware-Updates oder ablaufende Zertifikate ausfallen können. Die gewählte Lösung verlagert die gesamte Software auf den Laptop und nutzt am Fernseher nur die robuste, eingebaute USB-Wiedergabe.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Funktionale Anforderungen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Priorität nach MoSCoW: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Muss</w:t>
      </w:r>
      <w:r>
        <w:rPr>
          <w:rFonts w:ascii="Arial" w:cs="Arial" w:eastAsia="Arial" w:hAnsi="Arial"/>
          <w:sz w:val="20"/>
          <w:szCs w:val="20"/>
        </w:rPr>
        <w:t xml:space="preserve"> (zwingend),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Soll</w:t>
      </w:r>
      <w:r>
        <w:rPr>
          <w:rFonts w:ascii="Arial" w:cs="Arial" w:eastAsia="Arial" w:hAnsi="Arial"/>
          <w:sz w:val="20"/>
          <w:szCs w:val="20"/>
        </w:rPr>
        <w:t xml:space="preserve"> (wichtig),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Kann</w:t>
      </w:r>
      <w:r>
        <w:rPr>
          <w:rFonts w:ascii="Arial" w:cs="Arial" w:eastAsia="Arial" w:hAnsi="Arial"/>
          <w:sz w:val="20"/>
          <w:szCs w:val="20"/>
        </w:rPr>
        <w:t xml:space="preserve"> (optional).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FA-01 | Video importieren | Ein oder mehrere bestehende Videos (mind. MP4) können in das Projekt importiert und in einer Liste verwaltet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FA-02 | Produkt/Aktion anlegen | Produkte bzw. Aktionen können neu angelegt werden (Felder z. B.: Titel, Beschreibung/Text, optional Preis, optional Bild, Anzeigedauer).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FA-03 | Inhalte bearbeiten/löschen | Vorhandene Videos und Produkte/Aktionen können bearbeitet und entfernt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FA-04 | Aktions-Segment erzeugen | Aus einem Produkt/einer Aktion (Text + optional Bild) wird ein anzeigbares Video-/Bildsegment mit definierter Anzeigedauer erzeugt.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FA-05 | Reihenfolge festlegen | Alle Elemente (Videos + Aktions-Segmente) können zu einer Wiedergabeliste zusammengestellt und in der Reihenfolge angeordnet werden (z. B. per Drag-and-drop).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FA-06 | Anzeigedauer steuern | Je Element (Bilder, Aktions-Segmente) ist eine individuelle Anzeigedauer einstellbar; die Bedienung erfolgt über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einheitlichen Dauer-/Trim-Regler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Kürzen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Verlängern per Griff, s. 4.4.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FA-07 | Vorschau | Die zusammengestellte Sequenz kann vor dem Rendern in der Anwendung vorab betrachtet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FA-08 | Ausgabe-Rendering | Aus der Wiedergabeliste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Lauf eine einzige, durchgehende MP4-Datei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definierter Auflösung und Codierung erzeugt (Verkettung aller Segmente). Dass 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Datei ist, ist wesentlich: nur so läuft die Schleife am Fernseher ohne sichtbaren Übergang (Risiko R-04).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FA-09 | Export auf USB | Eine gewählte Ausgabedatei kann in einen Zielordner bzw. direkt auf den USB-Speicher exportiert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 ihrem eigenen Namen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Auf dem Speicher dürfen mehrere Ausgabedateien nebeneinander liegen.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FA-10 | Projektverwaltung | Projekte werden in einer Übersicht geführt (Name, Erstell-/Änderungsdatum, Speicherort) und können angelegt, geöffnet, dupliziert und gelöscht werden – um Inhalte effizient zu aktualisieren statt neu anzulegen. Das Sichern selbst erfolgt automatisch (FA-15).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FA-11 | Einheitliches Grundlayout | Aktions-Segmente verwenden ein einheitliches Grundlayout im Corporate Design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zugewiesenen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Farbwelt, Typografie).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Eingebauter Standard ist Fitnessworld24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abgeleitet aus dem Markenauftritt der Website fitnessworld24.li; weitere Marken sind möglich (FA-23).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FA-12 | Gestalterischer Spielraum | Innerhalb des Grundlayouts sind definierte Bereiche frei gestaltbar (z. B. Überschrift, Motiv-/Produktbild, Preis bzw. Call-to-Action, Akzentfarbe), damit jede Werbung individuell und wirkungsvoll gestaltet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FA-13 | Vorlagen erstellen &amp; bearbeiten | Über die eingebauten Vorlagen hinaus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eigene Vorlagen angelegt und bearbeitet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im Prototyp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Dabei wird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Vorlage gewählt: vollflächiges Segment,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Split-Screen-Band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(s. 4.5). Eine eigene Vorlage arrangiert nur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freien Zonen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(Position/Größe/Feldzuordnung) innerhalb des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festen Markenrahmens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Sicherheitsabstände), der nicht abschaltbar ist. Datengetrieben – eine eigene Vorlage ist nur ein neuer Datensatz, kein Code-Umbau.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FA-14 | Video trimmen | Ein Video-Element kann am Anfang und Ende beschnitten werden (Trim-Start/-Ende); nur der gewählte Ausschnitt wird wiedergegeben und gerendert.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Nicht-destruktiv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Originaldatei bleibt unverändert; der Trim liegt am Listenelement. Bedienung über denselben Dauer-/Trim-Regler wie FA-06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FA-15 | Automatisches Speichern &amp; Sitzung | Änderungen (Liste, Reihenfolge, Trim, Aktionen)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fortlaufend automatisch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gesichert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manuelles Speichern, kein Datenverlust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(Rückgrat von NFA-02). Beim Start öffnet die App automatisch das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aktive 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stellt letztes Export-Ziel und UI-Voreinstellungen wieder her.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FA-16 | Prozessübersicht (Auftrags-Queue) | Länger laufende oder dateiverändernde Vorgänge (Medien-Import, Löschen von Medien, finaler Render, USB-Export) werden als Aufträge in einer sichtbaren Warteschlange geführt; erkennbar ist jederzeit, welcher Auftrag läuft, welche anstehen und welche fehlgeschlagen sind.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FA-17 | Fehlgeschlagene Vorgänge wiederholen | Ein fehlgeschlagener Auftrag bleibt mit Fehlergrund sichtbar und kann erneut ausgeführt werden; er wird dabei ans Ende der Warteschlange gestellt.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FA-18 | Vorgänge abbrechen/entfernen | Ein noch nicht gestarteter Auftrag kann aus der Warteschlange entfernt, ein laufender Render abgebrochen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FA-19 | Geführte Reparatur kaputter Elemente | Verweisen Elemente auf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fehlendes Medium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(z. B. extern gelöschte Datei), führt die Anwendung den Nutzer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 dem Rendern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aktiv durch die Reparatur: kaputte Elemente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hervorgehoben („X von N behoben") und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neu verknüpft/importiert, ersetzt oder entfernt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werden; der Render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erst freigegeben, wenn alle behoben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sind. Betrifft auch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Aktions-Bilder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fehlt das Bild einer Aktion, wird die Aktion repariert, was in einem Schritt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Listenelemente behebt, die diese Aktion verwenden.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FA-20 | Parallele Anzeige (Split-Screen / Einblendung) —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Hauptbetriebsart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Werbeinhalte laufen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parallel während eines Videos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entweder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oben verkleinert, Werbeband darunter, nichts verdeckt) oder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vollflächig, Band überlagernd). Während eines Videos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Aktionen 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Band rotieren. Die sequenzielle Werbepause (FA-04) bleibt zusätzlich möglich. Details: 4.5.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FA-21 | Rückgängig / Wiederherstellen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Editoren – Projekt-Bearbeitung und Vorlagen-Editor – bieten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Undo/Redo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Bearbeitungsschritte (Liste, Reihenfolge, Trim, Dauer, Aktionen, Zonen).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rückgängig machbar sind abgeschlossene Vorgänge mit Dateiwirkung (Import, Löschen von Medien, Render, Export) – ein gelöschtes Medium muss neu importiert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FA-22 | Mehrere benannte Ausgabedateien | Ein Projekt kann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gerenderte MP4-Dateien vorhalten. Beim Speichern eines Renders vergibt der Nutzer den Dateinamen; vorbelegt ist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verwendete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Name, sodass wiederholtes Rendern die vorige Fassung standardmäßig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Ordner nicht zuläuft. Ein abweichender Name legt eine zusätzliche Datei an. Datum und Uhrzeit stehen in der Ausgabe-Liste der Anwendung,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Dateinamen.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FA-23 | Marken-Bestand | Die Anwendung führt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Marken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einem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app-weiten, projektunabhängigen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Bestand. Ein Projekt darf mehrere Marken verwenden;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genau 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kann von einer anderen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abgeleitet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sein und einzelne Werte überschreiben (Saison- oder Kampagnen-Look). Die Fitnessworld24-Marke ist immer vorhanden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 löschbar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lässt sich nur löschen, wenn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abgeleitete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 mehr nutzt.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FA-24 | Marken-Editor | Marken lassen sich in der Anwendung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anlegen, bearbeiten und ableiten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Farben, Slogan, Sicherheitsabstände sowie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Logo und Schriftdateien. Bei zu geringem Kontrast zwischen Akzentfläche und darauf liegendem Text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Anwendung sichtbar, verhindert die Wahl aber nicht. | Muss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4.1 Gestaltung der Aktions-Segmente (Corporate Design)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Aktions-Segmente folgen dem Markenauftritt von Fitnessworld24 (24/7-Fitnessstudio, Weißensberg/Lindau am Bodensee). Gestalterische Grundlage ist die Website fitnessworld24.li. Ziel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Balance aus Wiedererkennbarkeit und Werbewirkung</w:t>
      </w:r>
      <w:r>
        <w:rPr>
          <w:rFonts w:ascii="Arial" w:cs="Arial" w:eastAsia="Arial" w:hAnsi="Arial"/>
          <w:sz w:val="20"/>
          <w:szCs w:val="20"/>
        </w:rPr>
        <w:t xml:space="preserve">: ein fester Markenrahmen sorgt für ein einheitliches, professionelles Erscheinungsbild, während klar definierte freie Bereiche jeder Aktion einen eigenen, ansprechenden Auftritt erlauben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Seit FA-23 gilt diese Zusage je Rahmen, nicht mehr für das ganze Video:</w:t>
      </w:r>
      <w:r>
        <w:rPr>
          <w:rFonts w:ascii="Arial" w:cs="Arial" w:eastAsia="Arial" w:hAnsi="Arial"/>
          <w:sz w:val="20"/>
          <w:szCs w:val="20"/>
        </w:rPr>
        <w:t xml:space="preserve"> der Rahmen bleibt in der Projekt-Standardmarke, die Inhalte darin dürfen fremde Marken tragen (Abschnitt 4.8).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Rahmen (einheitlich, FA-11):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Studio-Logo an einer definierten Position.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Durchgängige Markenfarbwelt und Typografie gemäß Website.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Einheitliche Ränder/Sicherheitsabstände, abgestimmt auf die TV-Auflösung (4K bzw. 1080p) inkl. Rand zum Bildschirmrand.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Optionaler, wiederkehrender Marken-Slogan im Stil der Website (z. B. „Trainiere wann du willst. Nicht wann es passt.").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Variable Bereiche (Spielraum, FA-12):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Überschrift / Aktionstext (z. B. Angebot, Aktionsname).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Motiv- oder Produktbild.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Preis bzw. Call-to-Action (z. B. „Gratis Probetraining sichern").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Akzentfarbe oder Aktions-Badge zur Hervorhebung.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4.2 Design-Tokens / Style-Guide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Diese Tabellen beschreiben die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eingebaute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Marke Fitnessworld24</w:t>
      </w:r>
      <w:r>
        <w:rPr>
          <w:rFonts w:ascii="Arial" w:cs="Arial" w:eastAsia="Arial" w:hAnsi="Arial"/>
          <w:sz w:val="20"/>
          <w:szCs w:val="20"/>
        </w:rPr>
        <w:t xml:space="preserve"> – seit FA-23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</w:t>
      </w:r>
      <w:r>
        <w:rPr>
          <w:rFonts w:ascii="Arial" w:cs="Arial" w:eastAsia="Arial" w:hAnsi="Arial"/>
          <w:sz w:val="20"/>
          <w:szCs w:val="20"/>
        </w:rPr>
        <w:t xml:space="preserve">, nicht die einzige Marke. Weitere Marken tragen dieselben Rollen mit eigenen Werten; die Rollen-Namen und ihre Bedeutung sind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Marken verbindlich (Technisches Konzept 9.11.2).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dem Markenauftritt (Export der Website-Tokens) ergibt sich folgende Gestaltungsbasis. Wix-spezifische Editor-/Systemfarben wurden aussortiert (siehe Hinweis unten).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Hex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Primär / Akzent (Rot)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Signal für Aktionen, Badges,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kräftig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alternativ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#D62B2B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zweite Rot-Stufe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Dunkelrot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Bordeaux / sehr dunkel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Flächen,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Rot-Tint hell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Hintergründe/Flächen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Schwarz / Text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#212121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Hintergrund dunkel (Charcoal)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Segment-Hintergründe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Weiß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Flächen, Text auf Dunkel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Grautöne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#646464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#A0A09F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#E2E2E2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Sekundärtext, Linien, Flächen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Typografie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(elegant) | Playfair Display | Serif, für Überschriften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(kräftig) | Avenir 85 Heavy bzw. Arial Black | für plakative Werbe-Headlines/Slogans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Fließtext / UI | Helvetica / Helvetica Neue (Light, Roman, Bold) | Standardtext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 &amp; Tiefe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Eckenradius: Buttons/Badges als Pille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30–50px</w:t>
      </w:r>
      <w:r>
        <w:rPr>
          <w:rFonts w:ascii="Arial" w:cs="Arial" w:eastAsia="Arial" w:hAnsi="Arial"/>
          <w:sz w:val="20"/>
          <w:szCs w:val="20"/>
        </w:rPr>
        <w:t xml:space="preserve">), Karten/Flächen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8–10px</w:t>
      </w:r>
      <w:r>
        <w:rPr>
          <w:rFonts w:ascii="Arial" w:cs="Arial" w:eastAsia="Arial" w:hAnsi="Arial"/>
          <w:sz w:val="20"/>
          <w:szCs w:val="20"/>
        </w:rPr>
        <w:t xml:space="preserve">, kleine Elemente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2px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Schatten (Karten/Flächen, dezent):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 4px 8px rgba(0,0,0,.1)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Hinweis (aussortierte Wix-Artefakte):</w:t>
      </w:r>
      <w:r>
        <w:rPr>
          <w:rFonts w:ascii="Arial" w:cs="Arial" w:eastAsia="Arial" w:hAnsi="Arial"/>
          <w:sz w:val="20"/>
          <w:szCs w:val="20"/>
        </w:rPr>
        <w:t xml:space="preserve"> Das Editor-Blau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#116DFF</w:t>
      </w:r>
      <w:r>
        <w:rPr>
          <w:rFonts w:ascii="Arial" w:cs="Arial" w:eastAsia="Arial" w:hAnsi="Arial"/>
          <w:sz w:val="20"/>
          <w:szCs w:val="20"/>
        </w:rPr>
        <w:t xml:space="preserve"> (inkl. der zugehörigen Fokus-Schatten), das Standard-Link-Blau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#0000EE</w:t>
      </w:r>
      <w:r>
        <w:rPr>
          <w:rFonts w:ascii="Arial" w:cs="Arial" w:eastAsia="Arial" w:hAnsi="Arial"/>
          <w:sz w:val="20"/>
          <w:szCs w:val="20"/>
        </w:rPr>
        <w:t xml:space="preserve">, die Wix-Systemschrift „Madefor" sowie unaufgelöste Theme-Variablen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color_xx</w:t>
      </w:r>
      <w:r>
        <w:rPr>
          <w:rFonts w:ascii="Arial" w:cs="Arial" w:eastAsia="Arial" w:hAnsi="Arial"/>
          <w:sz w:val="20"/>
          <w:szCs w:val="20"/>
        </w:rPr>
        <w:t xml:space="preserve">, Ricos-Text-Tupel) und CSS-Systemfarben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Highlight</w:t>
      </w:r>
      <w:r>
        <w:rPr>
          <w:rFonts w:ascii="Arial" w:cs="Arial" w:eastAsia="Arial" w:hAnsi="Arial"/>
          <w:sz w:val="20"/>
          <w:szCs w:val="20"/>
        </w:rPr>
        <w:t xml:space="preserve">) gehören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zum Studio-Branding und werden nicht verwendet.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&amp; Primärfarbe (geklärt):</w:t>
      </w:r>
      <w:r>
        <w:rPr>
          <w:rFonts w:ascii="Arial" w:cs="Arial" w:eastAsia="Arial" w:hAnsi="Arial"/>
          <w:sz w:val="20"/>
          <w:szCs w:val="20"/>
        </w:rPr>
        <w:t xml:space="preserve"> Die verbindliche Primärfarbe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#FF4040</w:t>
      </w:r>
      <w:r>
        <w:rPr>
          <w:rFonts w:ascii="Arial" w:cs="Arial" w:eastAsia="Arial" w:hAnsi="Arial"/>
          <w:sz w:val="20"/>
          <w:szCs w:val="20"/>
        </w:rPr>
        <w:t xml:space="preserve">. Das offizielle Logo liegt vor (Quelle: Markenauftritt / Website).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4.3 Prozessverwaltung (Auftrags-Queue)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Länger laufende oder dateiverändernde Vorgänge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Medien-Import, Löschen von Medien, finaler Render und USB-Export</w:t>
      </w:r>
      <w:r>
        <w:rPr>
          <w:rFonts w:ascii="Arial" w:cs="Arial" w:eastAsia="Arial" w:hAnsi="Arial"/>
          <w:sz w:val="20"/>
          <w:szCs w:val="20"/>
        </w:rPr>
        <w:t xml:space="preserve"> — laufen nicht unsichtbar im Hintergrund, sondern werden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</w:t>
      </w:r>
      <w:r>
        <w:rPr>
          <w:rFonts w:ascii="Arial" w:cs="Arial" w:eastAsia="Arial" w:hAnsi="Arial"/>
          <w:sz w:val="20"/>
          <w:szCs w:val="20"/>
        </w:rPr>
        <w:t xml:space="preserve"> in einer für den Nutzer sichtbaren Warteschlange geführt (FA-16). Damit bleibt der Systemzustand jederzeit nachvollziehbar, und Fehler gehen nicht verloren.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Sichtbarkeit (FA-16):</w:t>
      </w:r>
      <w:r>
        <w:rPr>
          <w:rFonts w:ascii="Arial" w:cs="Arial" w:eastAsia="Arial" w:hAnsi="Arial"/>
          <w:sz w:val="20"/>
          <w:szCs w:val="20"/>
        </w:rPr>
        <w:t xml:space="preserve"> Zu jedem Zeitpunkt ist erkennbar, welcher Auftrag gerade läuft, welche anstehen und welche fehlgeschlagen sind (jeweils mit Klartext-Bezeichnung, bei Fehlern mit Fehlergrund).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Serielle Ausführung (NFA-09):</w:t>
      </w:r>
      <w:r>
        <w:rPr>
          <w:rFonts w:ascii="Arial" w:cs="Arial" w:eastAsia="Arial" w:hAnsi="Arial"/>
          <w:sz w:val="20"/>
          <w:szCs w:val="20"/>
        </w:rPr>
        <w:t xml:space="preserve"> Es läuft stets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gleichzeitig; die übrigen warten in Reihenfolge. Das macht den Ablauf vorhersehbar und verhindert Konflikte — z. B. wartet das Löschen eines Mediums, das gerade in einen laufenden Render einfließt, automatisch, bis der Render fertig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(FA-17):</w:t>
      </w:r>
      <w:r>
        <w:rPr>
          <w:rFonts w:ascii="Arial" w:cs="Arial" w:eastAsia="Arial" w:hAnsi="Arial"/>
          <w:sz w:val="20"/>
          <w:szCs w:val="20"/>
        </w:rPr>
        <w:t xml:space="preserve"> Ein fehlgeschlagener Auftrag (z. B. Import einer beschädigten Datei, Export auf einen vollen USB-Stick) kann per Klick erneut ausgeführt werden; er wird dabei ans Ende der Warteschlange 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Abbrechen/Entfernen (FA-18):</w:t>
      </w:r>
      <w:r>
        <w:rPr>
          <w:rFonts w:ascii="Arial" w:cs="Arial" w:eastAsia="Arial" w:hAnsi="Arial"/>
          <w:sz w:val="20"/>
          <w:szCs w:val="20"/>
        </w:rPr>
        <w:t xml:space="preserve"> Ein noch nicht gestarteter Auftrag kann aus der Warteschlange entfernt, ein laufender Render abgebrochen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Lebensdauer: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Warteschlange (laufende/anstehende Vorgänge) ist ein reines Laufzeit-Hilfsmittel und nach einem Neustart der Anwendung leer.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Fehlgeschlagene Vorgänge bleiben jedoch erhalten</w:t>
      </w:r>
      <w:r>
        <w:rPr>
          <w:rFonts w:ascii="Arial" w:cs="Arial" w:eastAsia="Arial" w:hAnsi="Arial"/>
          <w:sz w:val="20"/>
          <w:szCs w:val="20"/>
        </w:rPr>
        <w:t xml:space="preserve"> – auch über einen Neustart hinweg –, damit sie nicht verloren gehen und später erneut ausgeführt werden können (FA-17).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interaktive Vorschau (FA-07)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und läuft unabhängig von der Warteschlange.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4.4 Dauer und Trim – einheitliche Bedienung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Dauer (FA-06) und Trim (FA-14) werden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Elementtypen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Bedien-Baustein gesteuert – einen Balken mit Griffen, an denen der Nutzer die effektive Dauer zieht. Kürzen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Verlängern fühlen sich überall gleich an („wie Trimmen"); nur die Grenzen unterscheiden sich je nach Elementtyp: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(FA-14):</w:t>
      </w:r>
      <w:r>
        <w:rPr>
          <w:rFonts w:ascii="Arial" w:cs="Arial" w:eastAsia="Arial" w:hAnsi="Arial"/>
          <w:sz w:val="20"/>
          <w:szCs w:val="20"/>
        </w:rPr>
        <w:t xml:space="preserve"> zwei Griffe (Anfang/Ende) innerhalb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Quelllänge</w:t>
      </w:r>
      <w:r>
        <w:rPr>
          <w:rFonts w:ascii="Arial" w:cs="Arial" w:eastAsia="Arial" w:hAnsi="Arial"/>
          <w:sz w:val="20"/>
          <w:szCs w:val="20"/>
        </w:rPr>
        <w:t xml:space="preserve"> des Videos. Kürzen schneidet Anfang/Ende weg; Verlängern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bis zur Quelllänge</w:t>
      </w:r>
      <w:r>
        <w:rPr>
          <w:rFonts w:ascii="Arial" w:cs="Arial" w:eastAsia="Arial" w:hAnsi="Arial"/>
          <w:sz w:val="20"/>
          <w:szCs w:val="20"/>
        </w:rPr>
        <w:t xml:space="preserve"> möglich (mehr Material existiert nicht). Der Schnitt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nicht-destruktiv</w:t>
      </w:r>
      <w:r>
        <w:rPr>
          <w:rFonts w:ascii="Arial" w:cs="Arial" w:eastAsia="Arial" w:hAnsi="Arial"/>
          <w:sz w:val="20"/>
          <w:szCs w:val="20"/>
        </w:rPr>
        <w:t xml:space="preserve"> – die Originaldatei bleibt unverändert.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 / Aktions-Segment (FA-06):</w:t>
      </w:r>
      <w:r>
        <w:rPr>
          <w:rFonts w:ascii="Arial" w:cs="Arial" w:eastAsia="Arial" w:hAnsi="Arial"/>
          <w:sz w:val="20"/>
          <w:szCs w:val="20"/>
        </w:rPr>
        <w:t xml:space="preserve"> die effektive Anzeigedauer ist frei im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10–45 s</w:t>
      </w:r>
      <w:r>
        <w:rPr>
          <w:rFonts w:ascii="Arial" w:cs="Arial" w:eastAsia="Arial" w:hAnsi="Arial"/>
          <w:sz w:val="20"/>
          <w:szCs w:val="20"/>
        </w:rPr>
        <w:t xml:space="preserve"> einstellbar (Standard 10 s). Da es keine Quelllänge gibt, ist die Obergrenze die konfigurierte Maximaldauer; Kürzen und Verlängern laufen über denselben Regler.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Regler zeigt die aktuelle effektive Dauer numerisch an. So bleibt die Bedienung über Video, Bild und Aktions-Segment hinweg konsistent, obwohl technisch ein Trim (Ausschnitt) und eine reine Anzeigedauer dahinterstehen.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4.5 Betriebsarten für Werbeinhalte (FA-20) — Split-Screen ist die Hauptbetriebsart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Werbeinhalte erscheinen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Wegen.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Hauptbetriebsart ist die parallele Anzeige während eines Videos</w:t>
      </w:r>
      <w:r>
        <w:rPr>
          <w:rFonts w:ascii="Arial" w:cs="Arial" w:eastAsia="Arial" w:hAnsi="Arial"/>
          <w:sz w:val="20"/>
          <w:szCs w:val="20"/>
        </w:rPr>
        <w:t xml:space="preserve">; die sequenzielle Werbepause ist die zusätzliche Möglichkeit: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 (Hauptbetriebsart):</w:t>
      </w:r>
      <w:r>
        <w:rPr>
          <w:rFonts w:ascii="Arial" w:cs="Arial" w:eastAsia="Arial" w:hAnsi="Arial"/>
          <w:sz w:val="20"/>
          <w:szCs w:val="20"/>
        </w:rPr>
        <w:t xml:space="preserve"> Während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läuft</w:t>
      </w:r>
      <w:r>
        <w:rPr>
          <w:rFonts w:ascii="Arial" w:cs="Arial" w:eastAsia="Arial" w:hAnsi="Arial"/>
          <w:sz w:val="20"/>
          <w:szCs w:val="20"/>
        </w:rPr>
        <w:t xml:space="preserve">, erscheint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 ein durchgehendes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. Das Video wird dafür verkleinert,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 wird verdeckt</w:t>
      </w:r>
      <w:r>
        <w:rPr>
          <w:rFonts w:ascii="Arial" w:cs="Arial" w:eastAsia="Arial" w:hAnsi="Arial"/>
          <w:sz w:val="20"/>
          <w:szCs w:val="20"/>
        </w:rPr>
        <w:t xml:space="preserve">. Im Band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Aktionen nacheinander rotieren</w:t>
      </w:r>
      <w:r>
        <w:rPr>
          <w:rFonts w:ascii="Arial" w:cs="Arial" w:eastAsia="Arial" w:hAnsi="Arial"/>
          <w:sz w:val="20"/>
          <w:szCs w:val="20"/>
        </w:rPr>
        <w:t xml:space="preserve">, solange das Video läuft.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 (parallel, überlagernd):</w:t>
      </w:r>
      <w:r>
        <w:rPr>
          <w:rFonts w:ascii="Arial" w:cs="Arial" w:eastAsia="Arial" w:hAnsi="Arial"/>
          <w:sz w:val="20"/>
          <w:szCs w:val="20"/>
        </w:rPr>
        <w:t xml:space="preserve"> Das Video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; das Werbeband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und verdeckt den unteren Bildbereich. Vorteil: das Video behält seine volle Größe, ohne Seitenbalken.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Sequenziell (Werbepause):</w:t>
      </w:r>
      <w:r>
        <w:rPr>
          <w:rFonts w:ascii="Arial" w:cs="Arial" w:eastAsia="Arial" w:hAnsi="Arial"/>
          <w:sz w:val="20"/>
          <w:szCs w:val="20"/>
        </w:rPr>
        <w:t xml:space="preserve"> Eine Aktion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eigenes, vollflächiges Segment</w:t>
      </w:r>
      <w:r>
        <w:rPr>
          <w:rFonts w:ascii="Arial" w:cs="Arial" w:eastAsia="Arial" w:hAnsi="Arial"/>
          <w:sz w:val="20"/>
          <w:szCs w:val="20"/>
        </w:rPr>
        <w:t xml:space="preserve"> zwischen den Videos gezeigt (FA-04).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Welche Art eine Vorlage bedient,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 der Vorlagenerstellung gewählt</w:t>
      </w:r>
      <w:r>
        <w:rPr>
          <w:rFonts w:ascii="Arial" w:cs="Arial" w:eastAsia="Arial" w:hAnsi="Arial"/>
          <w:sz w:val="20"/>
          <w:szCs w:val="20"/>
        </w:rPr>
        <w:t xml:space="preserve"> (FA-13).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Geometrie beim Split-Screen:</w:t>
      </w:r>
      <w:r>
        <w:rPr>
          <w:rFonts w:ascii="Arial" w:cs="Arial" w:eastAsia="Arial" w:hAnsi="Arial"/>
          <w:sz w:val="20"/>
          <w:szCs w:val="20"/>
        </w:rPr>
        <w:t xml:space="preserve"> Der Bildrahmen bleibt 1920 × 1080.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legt die Vorlage fest</w:t>
      </w:r>
      <w:r>
        <w:rPr>
          <w:rFonts w:ascii="Arial" w:cs="Arial" w:eastAsia="Arial" w:hAnsi="Arial"/>
          <w:sz w:val="20"/>
          <w:szCs w:val="20"/>
        </w:rPr>
        <w:t xml:space="preserve"> (eingebaute Vorlage: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162 px</w:t>
      </w:r>
      <w:r>
        <w:rPr>
          <w:rFonts w:ascii="Arial" w:cs="Arial" w:eastAsia="Arial" w:hAnsi="Arial"/>
          <w:sz w:val="20"/>
          <w:szCs w:val="20"/>
        </w:rPr>
        <w:t xml:space="preserve">, 15 %); das Video nutzt die restliche Höhe (bei 162 px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918 px</w:t>
      </w:r>
      <w:r>
        <w:rPr>
          <w:rFonts w:ascii="Arial" w:cs="Arial" w:eastAsia="Arial" w:hAnsi="Arial"/>
          <w:sz w:val="20"/>
          <w:szCs w:val="20"/>
        </w:rPr>
        <w:t xml:space="preserve">). Weil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Beschnitt</w:t>
      </w:r>
      <w:r>
        <w:rPr>
          <w:rFonts w:ascii="Arial" w:cs="Arial" w:eastAsia="Arial" w:hAnsi="Arial"/>
          <w:sz w:val="20"/>
          <w:szCs w:val="20"/>
        </w:rPr>
        <w:t xml:space="preserve"> erlaubt ist, wird ein 16:9-Video höhenbegrenzt eingepasst (bei 918 px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); die verbleibenden Flächen links und rechts (je 144 px) werden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dunklen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Konsequenz beim Split-Screen:</w:t>
      </w:r>
      <w:r>
        <w:rPr>
          <w:rFonts w:ascii="Arial" w:cs="Arial" w:eastAsia="Arial" w:hAnsi="Arial"/>
          <w:sz w:val="20"/>
          <w:szCs w:val="20"/>
        </w:rPr>
        <w:t xml:space="preserve"> Das Video erscheint kleiner (bei 162 px Band ca. 72 % der Fläche) — reine Geometrie bei festem 16:9-Rahmen, kein Fehler. Wer das Video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voller</w:t>
      </w:r>
      <w:r>
        <w:rPr>
          <w:rFonts w:ascii="Arial" w:cs="Arial" w:eastAsia="Arial" w:hAnsi="Arial"/>
          <w:sz w:val="20"/>
          <w:szCs w:val="20"/>
        </w:rPr>
        <w:t xml:space="preserve"> Größe behalten will, nutzt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(Art 2), die dafür den unteren Bildbereich verdeckt.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Platz im Band:</w:t>
      </w:r>
      <w:r>
        <w:rPr>
          <w:rFonts w:ascii="Arial" w:cs="Arial" w:eastAsia="Arial" w:hAnsi="Arial"/>
          <w:sz w:val="20"/>
          <w:szCs w:val="20"/>
        </w:rPr>
        <w:t xml:space="preserve"> In ein 162 px hohes Band passt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kompakte Zeile</w:t>
      </w:r>
      <w:r>
        <w:rPr>
          <w:rFonts w:ascii="Arial" w:cs="Arial" w:eastAsia="Arial" w:hAnsi="Arial"/>
          <w:sz w:val="20"/>
          <w:szCs w:val="20"/>
        </w:rPr>
        <w:t xml:space="preserve"> (Logo, Titel, Preis/CTA); eine längere Beschreibung ist dort nicht vorgesehen. Höhere Bänder sind über eigene Vorlagen möglich — sie verkleinern beim Split-Screen entsprechend das Video.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4.6 Vorlagen bearbeiten: Arbeitskopie und explizites Speichern (FA-13)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werden typischerweise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anhand eines konkreten Projekts</w:t>
      </w:r>
      <w:r>
        <w:rPr>
          <w:rFonts w:ascii="Arial" w:cs="Arial" w:eastAsia="Arial" w:hAnsi="Arial"/>
          <w:sz w:val="20"/>
          <w:szCs w:val="20"/>
        </w:rPr>
        <w:t xml:space="preserve"> gestaltet – man sieht am echten Inhalt, ob das Layout trägt. Damit dabei nicht versehentlich laufende Werbung verändert wird, gilt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Zwei-Stufen-Ablauf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Bearbeiten:</w:t>
      </w:r>
      <w:r>
        <w:rPr>
          <w:rFonts w:ascii="Arial" w:cs="Arial" w:eastAsia="Arial" w:hAnsi="Arial"/>
          <w:sz w:val="20"/>
          <w:szCs w:val="20"/>
        </w:rPr>
        <w:t xml:space="preserve"> Wer eine Vorlage öffnet, arbeitet auf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. Diese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gesichert</w:t>
      </w:r>
      <w:r>
        <w:rPr>
          <w:rFonts w:ascii="Arial" w:cs="Arial" w:eastAsia="Arial" w:hAnsi="Arial"/>
          <w:sz w:val="20"/>
          <w:szCs w:val="20"/>
        </w:rPr>
        <w:t xml:space="preserve"> (nichts geht verloren), die genutzte Vorlage bleibt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unberührt</w:t>
      </w:r>
      <w:r>
        <w:rPr>
          <w:rFonts w:ascii="Arial" w:cs="Arial" w:eastAsia="Arial" w:hAnsi="Arial"/>
          <w:sz w:val="20"/>
          <w:szCs w:val="20"/>
        </w:rPr>
        <w:t xml:space="preserve">. Experimentieren ist damit gefahrlos.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Abschließen:</w:t>
      </w:r>
      <w:r>
        <w:rPr>
          <w:rFonts w:ascii="Arial" w:cs="Arial" w:eastAsia="Arial" w:hAnsi="Arial"/>
          <w:sz w:val="20"/>
          <w:szCs w:val="20"/>
        </w:rPr>
        <w:t xml:space="preserve"> Am Ende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 gespeichert</w:t>
      </w:r>
      <w:r>
        <w:rPr>
          <w:rFonts w:ascii="Arial" w:cs="Arial" w:eastAsia="Arial" w:hAnsi="Arial"/>
          <w:sz w:val="20"/>
          <w:szCs w:val="20"/>
        </w:rPr>
        <w:t xml:space="preserve">, mit der Wahl zwischen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– die Änderungen wandern in die bestehende Vorlage. Vorher wird angezeigt,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 viele Aktionen in wie vielen Projekten</w:t>
      </w:r>
      <w:r>
        <w:rPr>
          <w:rFonts w:ascii="Arial" w:cs="Arial" w:eastAsia="Arial" w:hAnsi="Arial"/>
          <w:sz w:val="20"/>
          <w:szCs w:val="20"/>
        </w:rPr>
        <w:t xml:space="preserve"> davon betroffen sind, denn alle ändern ihr Aussehen.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– es entsteht eine zusätzliche Vorlage; die ursprüngliche bleibt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„Verwerfen"</w:t>
      </w:r>
      <w:r>
        <w:rPr>
          <w:rFonts w:ascii="Arial" w:cs="Arial" w:eastAsia="Arial" w:hAnsi="Arial"/>
          <w:sz w:val="20"/>
          <w:szCs w:val="20"/>
        </w:rPr>
        <w:t xml:space="preserve"> – der Bearbeitungsstand wird fallengelassen.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</w:t>
      </w:r>
      <w:r>
        <w:rPr>
          <w:rFonts w:ascii="Arial" w:cs="Arial" w:eastAsia="Arial" w:hAnsi="Arial"/>
          <w:sz w:val="20"/>
          <w:szCs w:val="20"/>
        </w:rPr>
        <w:t xml:space="preserve"> lassen sich nicht überarbeiten; bei ihnen steht nur „als neue eigenständige Vorlage" zur Verfügung (sie bleiben als verlässliche Ausgangsbasis erhalten).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Halbfertige Arbeitskopien</w:t>
      </w:r>
      <w:r>
        <w:rPr>
          <w:rFonts w:ascii="Arial" w:cs="Arial" w:eastAsia="Arial" w:hAnsi="Arial"/>
          <w:sz w:val="20"/>
          <w:szCs w:val="20"/>
        </w:rPr>
        <w:t xml:space="preserve"> stehen nicht zur Auswahl für Aktionen – sie können also nicht versehentlich in ein Video geraten.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4.7 Ausgabedateien: Benennung, Ersetzen, Export (FA-22)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hält seine gerenderten Videos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 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projects/&lt;projekt-id&gt;/output/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Dass der 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Projekt</w:t>
      </w:r>
      <w:r>
        <w:rPr>
          <w:rFonts w:ascii="Arial" w:cs="Arial" w:eastAsia="Arial" w:hAnsi="Arial"/>
          <w:sz w:val="20"/>
          <w:szCs w:val="20"/>
        </w:rPr>
        <w:t xml:space="preserve"> gehört, ist wesentlich: Läge er anwendungsweit, würde ein Render 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 B die noch nicht exportierte Datei von Projekt A überschreiben.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Benennung:</w:t>
      </w:r>
      <w:r>
        <w:rPr>
          <w:rFonts w:ascii="Arial" w:cs="Arial" w:eastAsia="Arial" w:hAnsi="Arial"/>
          <w:sz w:val="20"/>
          <w:szCs w:val="20"/>
        </w:rPr>
        <w:t xml:space="preserve"> Der Nutzer vergibt beim Speichern des Renders den Dateinamen (z. B.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sommeraktion.mp4</w:t>
      </w:r>
      <w:r>
        <w:rPr>
          <w:rFonts w:ascii="Arial" w:cs="Arial" w:eastAsia="Arial" w:hAnsi="Arial"/>
          <w:sz w:val="20"/>
          <w:szCs w:val="20"/>
        </w:rPr>
        <w:t xml:space="preserve">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Zeitstempel im Namen</w:t>
      </w:r>
      <w:r>
        <w:rPr>
          <w:rFonts w:ascii="Arial" w:cs="Arial" w:eastAsia="Arial" w:hAnsi="Arial"/>
          <w:sz w:val="20"/>
          <w:szCs w:val="20"/>
        </w:rPr>
        <w:t xml:space="preserve"> – Datum und Uhrzeit der Erzeugung zeigt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Anwendung in ihrer Ausgabe-Liste an. So bleibt der Name stabil, und eine neue Fassung ersetzt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alte auch auf dem USB-Speicher, statt sich daneben anzusammeln.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als Standard:</w:t>
      </w:r>
      <w:r>
        <w:rPr>
          <w:rFonts w:ascii="Arial" w:cs="Arial" w:eastAsia="Arial" w:hAnsi="Arial"/>
          <w:sz w:val="20"/>
          <w:szCs w:val="20"/>
        </w:rPr>
        <w:t xml:space="preserve"> Vorbelegt ist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Name. Wer nur eine Kleinigkeit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korrigiert und neu rendert, überschreibt damit die vorige Fassung – nach zehn Probeläufen liegt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Datei im Ordner, nicht zehn. Wer eine Fassung behalten will, vergibt einen neuen Namen.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Schutz der vorigen Fassung:</w:t>
      </w:r>
      <w:r>
        <w:rPr>
          <w:rFonts w:ascii="Arial" w:cs="Arial" w:eastAsia="Arial" w:hAnsi="Arial"/>
          <w:sz w:val="20"/>
          <w:szCs w:val="20"/>
        </w:rPr>
        <w:t xml:space="preserve"> Ein Render, der abbricht oder fehlschlägt, darf die vorhandene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beschädigen. Geschrieben wird zuerst vollständig unter einem Arbeitsnamen; erst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fertige Datei ersetzt die alte (technisch verbindlich im Technischen Konzept 9.2.6).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Export:</w:t>
      </w:r>
      <w:r>
        <w:rPr>
          <w:rFonts w:ascii="Arial" w:cs="Arial" w:eastAsia="Arial" w:hAnsi="Arial"/>
          <w:sz w:val="20"/>
          <w:szCs w:val="20"/>
        </w:rPr>
        <w:t xml:space="preserve"> Der Nutzer wählt,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</w:t>
      </w:r>
      <w:r>
        <w:rPr>
          <w:rFonts w:ascii="Arial" w:cs="Arial" w:eastAsia="Arial" w:hAnsi="Arial"/>
          <w:sz w:val="20"/>
          <w:szCs w:val="20"/>
        </w:rPr>
        <w:t xml:space="preserve"> Ausgabedatei auf den USB-Speicher geht; sie behält dort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ihren Namen. Mehrere Dateien dürfen nebeneinander liegen.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4.8 Marken: Bestand, Ableitung, Zuweisung (FA-23, FA-24)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Bis v1.2 kannte das 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Marke – die von Fitnessworld24. Mit FA-23 wird daraus ein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. Zwei Anlässe machen das nötig: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Partner- und Fremdwerbung.</w:t>
      </w:r>
      <w:r>
        <w:rPr>
          <w:rFonts w:ascii="Arial" w:cs="Arial" w:eastAsia="Arial" w:hAnsi="Arial"/>
          <w:sz w:val="20"/>
          <w:szCs w:val="20"/>
        </w:rPr>
        <w:t xml:space="preserve"> Im Studio wird für Dritte geworben (etwa Nahrungsergänzungs-Hersteller).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Aktionen tragen die Marke des Partners, nicht die des Studios.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Saison- und Kampagnen-Looks.</w:t>
      </w:r>
      <w:r>
        <w:rPr>
          <w:rFonts w:ascii="Arial" w:cs="Arial" w:eastAsia="Arial" w:hAnsi="Arial"/>
          <w:sz w:val="20"/>
          <w:szCs w:val="20"/>
        </w:rPr>
        <w:t xml:space="preserve"> Dieselbe Fitnessworld24-Marke in einer abweichenden Anmutung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(Sommeraktion, Jahreswechsel) – gleiche Schriften, gleiches Logo, andere Farben.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Was das an der Zusage aus 4.1 ändert – bitte bewusst lesen.</w:t>
      </w:r>
      <w:r>
        <w:rPr>
          <w:rFonts w:ascii="Arial" w:cs="Arial" w:eastAsia="Arial" w:hAnsi="Arial"/>
          <w:sz w:val="20"/>
          <w:szCs w:val="20"/>
        </w:rPr>
        <w:t xml:space="preserve"> Der Satz „ein fester Markenrahmen sorgt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ein einheitliches, professionelles Erscheinungsbild" gilt weiterhin,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Rahmen</w:t>
      </w:r>
      <w:r>
        <w:rPr>
          <w:rFonts w:ascii="Arial" w:cs="Arial" w:eastAsia="Arial" w:hAnsi="Arial"/>
          <w:sz w:val="20"/>
          <w:szCs w:val="20"/>
        </w:rPr>
        <w:t xml:space="preserve">, nicht mehr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das ganze Video: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 (Band-Hintergrund, Restflächen neben einem eingepassten Video)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bleibt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Projekt-Standardmarke</w:t>
      </w:r>
      <w:r>
        <w:rPr>
          <w:rFonts w:ascii="Arial" w:cs="Arial" w:eastAsia="Arial" w:hAnsi="Arial"/>
          <w:sz w:val="20"/>
          <w:szCs w:val="20"/>
        </w:rPr>
        <w:t xml:space="preserve"> stabil;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Inhalte</w:t>
      </w:r>
      <w:r>
        <w:rPr>
          <w:rFonts w:ascii="Arial" w:cs="Arial" w:eastAsia="Arial" w:hAnsi="Arial"/>
          <w:sz w:val="20"/>
          <w:szCs w:val="20"/>
        </w:rPr>
        <w:t xml:space="preserve"> darin dürfen fremde Marken tragen. Ohne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Trennung wechselte bei rotierenden Partner-Aktionen die Flächenfarbe im Sekundenrhythmus – auf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einem 85-Zoll-Schirm unruhig statt professionell.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 und Ablage.</w:t>
      </w:r>
      <w:r>
        <w:rPr>
          <w:rFonts w:ascii="Arial" w:cs="Arial" w:eastAsia="Arial" w:hAnsi="Arial"/>
          <w:sz w:val="20"/>
          <w:szCs w:val="20"/>
        </w:rPr>
        <w:t xml:space="preserve"> Marken 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, nicht im Projekt – wie die Vorlagen (4.6).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Marke, die für ein Projekt angelegt wurde, steht damit allen zur Verfügung; ein Partner wird einmal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erfasst und nicht je Projekt erneut.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Ableitung.</w:t>
      </w:r>
      <w:r>
        <w:rPr>
          <w:rFonts w:ascii="Arial" w:cs="Arial" w:eastAsia="Arial" w:hAnsi="Arial"/>
          <w:sz w:val="20"/>
          <w:szCs w:val="20"/>
        </w:rPr>
        <w:t xml:space="preserve"> Eine Marke kann von einer anderen abgeleitet sein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einzelne</w:t>
      </w:r>
      <w:r>
        <w:rPr>
          <w:rFonts w:ascii="Arial" w:cs="Arial" w:eastAsia="Arial" w:hAnsi="Arial"/>
          <w:sz w:val="20"/>
          <w:szCs w:val="20"/>
        </w:rPr>
        <w:t xml:space="preserve"> Werte überschreiben.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Saison-Look setzt also nur die Farben und erbt Schriften, Logo und Abstände. Ändert sich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Fitnessworld24-Logo, wirkt das ohne Nacharbeit in allen abgeleiteten Looks. Ohne Ableitung müsste jede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Variante alles selbst tragen – und beim nächsten Logo-Wechsel würde eine vergessen.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Zuweisung.</w:t>
      </w:r>
      <w:r>
        <w:rPr>
          <w:rFonts w:ascii="Arial" w:cs="Arial" w:eastAsia="Arial" w:hAnsi="Arial"/>
          <w:sz w:val="20"/>
          <w:szCs w:val="20"/>
        </w:rPr>
        <w:t xml:space="preserve"> Jede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</w:t>
      </w:r>
      <w:r>
        <w:rPr>
          <w:rFonts w:ascii="Arial" w:cs="Arial" w:eastAsia="Arial" w:hAnsi="Arial"/>
          <w:sz w:val="20"/>
          <w:szCs w:val="20"/>
        </w:rPr>
        <w:t xml:space="preserve"> Marke. Elemente ohne Aktion (Video, Bild) tragen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eigene: Über sie zeichnet die Anwendung kein Logo; ihre Restflächen kommen aus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Projekt-Standardmarke.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Wenn eine Marke kein Logo hat</w:t>
      </w:r>
      <w:r>
        <w:rPr>
          <w:rFonts w:ascii="Arial" w:cs="Arial" w:eastAsia="Arial" w:hAnsi="Arial"/>
          <w:sz w:val="20"/>
          <w:szCs w:val="20"/>
        </w:rPr>
        <w:t xml:space="preserve"> – bei Partnern der Normalfall –, zeichnet die Anwendung einen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Ersatz</w:t>
      </w:r>
      <w:r>
        <w:rPr>
          <w:rFonts w:ascii="Arial" w:cs="Arial" w:eastAsia="Arial" w:hAnsi="Arial"/>
          <w:sz w:val="20"/>
          <w:szCs w:val="20"/>
        </w:rPr>
        <w:t xml:space="preserve">: den Markennamen auf farbigem Grund in der Akzentfarbe der Marke. Kein leerer Bereich und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 fremdes Logo an dieser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Löschen.</w:t>
      </w:r>
      <w:r>
        <w:rPr>
          <w:rFonts w:ascii="Arial" w:cs="Arial" w:eastAsia="Arial" w:hAnsi="Arial"/>
          <w:sz w:val="20"/>
          <w:szCs w:val="20"/>
        </w:rPr>
        <w:t xml:space="preserve"> Nur möglich,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Aktion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abgeleitete Marke</w:t>
      </w:r>
      <w:r>
        <w:rPr>
          <w:rFonts w:ascii="Arial" w:cs="Arial" w:eastAsia="Arial" w:hAnsi="Arial"/>
          <w:sz w:val="20"/>
          <w:szCs w:val="20"/>
        </w:rPr>
        <w:t xml:space="preserve"> sie nutzt – wie bei den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(4.6). Die Anwendung nennt vorher, was betroffen ist. Die eingebaute Fitnessworld24-Marke ist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löschbar, weil sie der Projekt-Standard und die Basis der abgeleiteten Looks ist;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bearbeitbar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sie aber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damit eine echte Änderung des Corporate Designs nicht zu einer Kopie daneben führt.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Schriften und Logos.</w:t>
      </w:r>
      <w:r>
        <w:rPr>
          <w:rFonts w:ascii="Arial" w:cs="Arial" w:eastAsia="Arial" w:hAnsi="Arial"/>
          <w:sz w:val="20"/>
          <w:szCs w:val="20"/>
        </w:rPr>
        <w:t xml:space="preserve"> Der Editor importiert beides. Die Dateien werden in den Marken-Bestand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kopiert</w:t>
      </w:r>
      <w:r>
        <w:rPr>
          <w:rFonts w:ascii="Arial" w:cs="Arial" w:eastAsia="Arial" w:hAnsi="Arial"/>
          <w:sz w:val="20"/>
          <w:szCs w:val="20"/>
        </w:rPr>
        <w:t xml:space="preserve">, die Originale bleiben unberührt (wie beim Medien-Import, FA-01). Fehlt eine importierte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zur Renderzeit,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bricht der Render ab, bevor er beginnt</w:t>
      </w:r>
      <w:r>
        <w:rPr>
          <w:rFonts w:ascii="Arial" w:cs="Arial" w:eastAsia="Arial" w:hAnsi="Arial"/>
          <w:sz w:val="20"/>
          <w:szCs w:val="20"/>
        </w:rPr>
        <w:t xml:space="preserve"> – ein stiller Rückfall auf eine andere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Schrift würde den Markenbruch erst am Fernseher zeigen.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Nicht-funktionale Anforderungen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NFA-01 | Bedienbarkeit | Übersichtliche, intuitive Oberfläche, ohne technische Vorkenntnisse durch Studio-Personal bedienbar.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NFA-02 | Stabilität | Die Anwendung arbeitet zuverlässig; ein Renderlauf läuft reproduzierbar und ohne Datenverlust durch.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NFA-03 | Ausgabe-Kompatibilität | Das erzeugte Video ist mit dem Media Player des Samsung-Fernsehers kompatibel (Container/Codec: MP4, H.264 High/Level 4.0,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BT.709,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AAC-Tonspur – verbindlich in 9.2.4).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NFA-04 | USB-Kompatibilität | Die Ausgabe funktioniert von einem gängig formatierten USB-Speicher (z. B. exFAT/FAT32).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NFA-05 | Performance | Das Rendern einer üblichen Sequenz erfolgt in vertretbarer Zeit auf dem Arbeitsplatzrechner.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NFA-06 | Offline-Fähigkeit | Die Anwendung funktioniert vollständig lokal, ohne Internet- oder Serververbindung.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NFA-07 | Wartbarkeit | Klar strukturierter, dokumentierter Aufbau, damit das Tool später erweitert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NFA-08 | Portabilität | Die Anwendung lässt sich auf einem Standard-Arbeitsplatzrechner einrichten und betreiben.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NFA-09 | Serielle Verarbeitung | Länger laufende Vorgänge (Import, Löschen, Render, Export) werden nacheinander ausgeführt; es läuft maximal ein Auftrag gleichzeitig. Das garantiert einen vorhersehbaren, konfliktfreien Ablauf. | Muss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Technische Rahmenbedingungen (Vorschlag)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konkrete Technologiewahl ist nicht festgeschrieben; vorgeschlagen wird: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Render-Engine: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für das Verketten der Clips, das Erzeugen der Aktions-Segmente (Bild/Text → Videosegment) und das Encoding der finalen MP4.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Benutzeroberfläche:</w:t>
      </w:r>
      <w:r>
        <w:rPr>
          <w:rFonts w:ascii="Arial" w:cs="Arial" w:eastAsia="Arial" w:hAnsi="Arial"/>
          <w:sz w:val="20"/>
          <w:szCs w:val="20"/>
        </w:rPr>
        <w:t xml:space="preserve"> Web- oder Desktop-Oberfläche (z. B. Browser-App oder Electron) mit Liste, Drag-and-drop-Reihenfolge und Vorschau.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Datenhaltung:</w:t>
      </w:r>
      <w:r>
        <w:rPr>
          <w:rFonts w:ascii="Arial" w:cs="Arial" w:eastAsia="Arial" w:hAnsi="Arial"/>
          <w:sz w:val="20"/>
          <w:szCs w:val="20"/>
        </w:rPr>
        <w:t xml:space="preserve"> lokale Speicherung der Projektdaten (z. B. JSON oder SQLite) sowie der importierten Medien im Dateisystem.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Zielformat der Ausgabe:</w:t>
      </w:r>
      <w:r>
        <w:rPr>
          <w:rFonts w:ascii="Arial" w:cs="Arial" w:eastAsia="Arial" w:hAnsi="Arial"/>
          <w:sz w:val="20"/>
          <w:szCs w:val="20"/>
        </w:rPr>
        <w:t xml:space="preserve"> MP4,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H.264 High / Level 4.0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1080, 30 fps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yuv420p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BT.709</w:t>
      </w:r>
      <w:r>
        <w:rPr>
          <w:rFonts w:ascii="Arial" w:cs="Arial" w:eastAsia="Arial" w:hAnsi="Arial"/>
          <w:sz w:val="20"/>
          <w:szCs w:val="20"/>
        </w:rPr>
        <w:t xml:space="preserve">, gedeckeltes VBR (10–12 Mbit/s),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stille AAC-Tonspur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+faststart</w:t>
      </w:r>
      <w:r>
        <w:rPr>
          <w:rFonts w:ascii="Arial" w:cs="Arial" w:eastAsia="Arial" w:hAnsi="Arial"/>
          <w:sz w:val="20"/>
          <w:szCs w:val="20"/>
        </w:rPr>
        <w:t xml:space="preserve">. Verbindlich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im Technischen Konzept 9.2.4. Die zunächst offene 4K-Option ist zugunsten von 1080p entschieden.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Wiedergabe am Fernseher (Demo-Modus)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der fertigen MP4 erfolgt über den eingebauten Media Player. Folgende Punkte sind für einen stabilen Dauerbetrieb relevant: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Quelle USB wählen, die gewünschte Datei starten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„Wiederholen: eine Datei" („Repeat One")</w:t>
      </w:r>
      <w:r>
        <w:rPr>
          <w:rFonts w:ascii="Arial" w:cs="Arial" w:eastAsia="Arial" w:hAnsi="Arial"/>
          <w:sz w:val="20"/>
          <w:szCs w:val="20"/>
        </w:rPr>
        <w:t xml:space="preserve"> aktivieren,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dieses</w:t>
      </w:r>
      <w:r>
        <w:rPr>
          <w:rFonts w:ascii="Arial" w:cs="Arial" w:eastAsia="Arial" w:hAnsi="Arial"/>
          <w:sz w:val="20"/>
          <w:szCs w:val="20"/>
        </w:rPr>
        <w:t xml:space="preserve"> Video als Endlosschleife läuft.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nicht „Repeat All":</w:t>
      </w:r>
      <w:r>
        <w:rPr>
          <w:rFonts w:ascii="Arial" w:cs="Arial" w:eastAsia="Arial" w:hAnsi="Arial"/>
          <w:sz w:val="20"/>
          <w:szCs w:val="20"/>
        </w:rPr>
        <w:t xml:space="preserve"> Liegen mehrere Ausgabedateien auf dem Speicher (FA-22), würde „Repeat All" den Ordner durchlaufen und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jedem</w:t>
      </w:r>
      <w:r>
        <w:rPr>
          <w:rFonts w:ascii="Arial" w:cs="Arial" w:eastAsia="Arial" w:hAnsi="Arial"/>
          <w:sz w:val="20"/>
          <w:szCs w:val="20"/>
        </w:rPr>
        <w:t xml:space="preserve"> Dateiwechsel kurz die Bedienleiste zeigen (Risiko R-04). Genau das soll die eine durchgehende Datei je Schleife vermeiden.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Über den Store-Modus (mit deaktiviertem Demo-Overlay/E-POP) kann der Fernseher die USB-Schleife nach dem Einschalten automatisch starten. Dieses Verhalten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modell- und firmwareabhängig und am vorhandenen Gerät zu verifizieren</w:t>
      </w:r>
      <w:r>
        <w:rPr>
          <w:rFonts w:ascii="Arial" w:cs="Arial" w:eastAsia="Arial" w:hAnsi="Arial"/>
          <w:sz w:val="20"/>
          <w:szCs w:val="20"/>
        </w:rPr>
        <w:t xml:space="preserve"> (siehe Risiken).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Energieoptionen:</w:t>
      </w:r>
      <w:r>
        <w:rPr>
          <w:rFonts w:ascii="Arial" w:cs="Arial" w:eastAsia="Arial" w:hAnsi="Arial"/>
          <w:sz w:val="20"/>
          <w:szCs w:val="20"/>
        </w:rPr>
        <w:t xml:space="preserve"> Automatisches Ausschalten, Energiesparmodus und Bildschirmschoner sind zu deaktivieren, damit der Loop nicht unterbrochen wird.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Aktualisierung der Inhalte:</w:t>
      </w:r>
      <w:r>
        <w:rPr>
          <w:rFonts w:ascii="Arial" w:cs="Arial" w:eastAsia="Arial" w:hAnsi="Arial"/>
          <w:sz w:val="20"/>
          <w:szCs w:val="20"/>
        </w:rPr>
        <w:t xml:space="preserve"> Inhalte werden aktualisiert, indem die MP4 auf dem USB-Speicher durch eine neue Version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gleichen Namens</w:t>
      </w:r>
      <w:r>
        <w:rPr>
          <w:rFonts w:ascii="Arial" w:cs="Arial" w:eastAsia="Arial" w:hAnsi="Arial"/>
          <w:sz w:val="20"/>
          <w:szCs w:val="20"/>
        </w:rPr>
        <w:t xml:space="preserve"> ersetzt wird. Behält die Datei ihren Namen, bleibt die am Fernseher eingestellte Auswahl gültig; ein neuer Name erfordert, die Datei am Gerät erneut auszuwählen.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Dateien auf dem Speicher:</w:t>
      </w:r>
      <w:r>
        <w:rPr>
          <w:rFonts w:ascii="Arial" w:cs="Arial" w:eastAsia="Arial" w:hAnsi="Arial"/>
          <w:sz w:val="20"/>
          <w:szCs w:val="20"/>
        </w:rPr>
        <w:t xml:space="preserve"> Zulässig (FA-22). Das Personal wählt die gewünschte Datei am Gerät aus. Je mehr Dateien, desto größer die Verwechslungsgefahr – sprechende Namen helfen.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Abgrenzung (Out of Scope)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Bestandteil der ersten Version: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Entwicklung und Deployment einer App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auf dem Fernseher</w:t>
      </w:r>
      <w:r>
        <w:rPr>
          <w:rFonts w:ascii="Arial" w:cs="Arial" w:eastAsia="Arial" w:hAnsi="Arial"/>
          <w:sz w:val="20"/>
          <w:szCs w:val="20"/>
        </w:rPr>
        <w:t xml:space="preserve"> (Tizen/Smart-TV-App).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Cloud-Anbindung, Netzwerk-Synchronisation oder Fernverwaltung.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Mehrbenutzerbetrieb bzw. gleichzeitige Bearbeitung.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Zeit-/Kalendersteuerung (Scheduling) der Wiedergabe.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Verwaltung mehrerer Standorte/Bildschirme von zentraler Stelle.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Automatische Verteilung des Videos (außer Ablage auf USB).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Annahmen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zunächst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Studio-Bildschirm zu bespielen (Prototyp/erste Ausbaustufe).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Inhalte (Videos, Produktinfos, Bilder) liegen in verwertbarer Form vor bzw. werden vom Studio bereitgestellt.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Fernseher verbleibt im Studio dauerhaft eingeschaltet bzw. wird täglich von Personal eingeschaltet.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Ausgabevideo wird voraussichtlich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Ton</w:t>
      </w:r>
      <w:r>
        <w:rPr>
          <w:rFonts w:ascii="Arial" w:cs="Arial" w:eastAsia="Arial" w:hAnsi="Arial"/>
          <w:sz w:val="20"/>
          <w:szCs w:val="20"/>
        </w:rPr>
        <w:t xml:space="preserve"> (stummgeschaltet) wiedergegeben.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10. Risiken und offene Punkte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Thema | Beschreibung / zu klären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R-01 | Auto-Start im Demo-Modus | Ob der konkrete Fernseher (UE85AU7170, FW T-KSU2EDEUC-2111.1) die USB-Schleife nach dem Einschalten automatisch startet, muss am Gerät getestet werden.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R-02 | Manueller Neustart | Ohne funktionierenden Auto-Start muss der Loop nach Stromausfall/Einschalten manuell gestartet werden – Ablauf für das Personal definieren.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R-03 | Codec-/Format-Kompatibilität | Konkrete Encoding-Parameter sind am Gerät zu verifizieren (Auflösung, Bitrate, Audiospur).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R-04 | Steuerleisten-Einblendung | Beim Wiederholen kann sich kurz eine Bedienleiste einblenden; durch eine einzige lange MP4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Schleife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wird dies minimiert.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Verschärft durch FA-22: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Liegen mehrere Dateien auf dem Speicher, muss am Gerät „Repeat One" (nicht „Repeat All") eingestellt sein – sonst tritt der Effekt bei jedem Dateiwechsel auf (Abschnitt 7).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R-05 | Energie-/Timeout-Verhalten | Energiespar- und Abschalt-Einstellungen müssen korrekt gesetzt sein, damit die Schleife nicht abbricht.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R-06 | Ton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Ausgabe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enthält aber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AAC-Tonspur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manche Player/TVs erwarten eine Audiospur und verhalten sich bei rein-Video-MP4 eigenartig. Verbindlich im Technischen Konzept 9.2.4.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R-07 | Fremdschriften und Lizenzen | Die vier mitgelieferten Schriften sind bewusst frei lizenziert (OFL). Für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importierte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Schriften (FA-24) trägt der Nutzer die Nutzungsrechte – die Anwendung brennt sie in ein Video ein, das weitergegeben und öffentlich gezeigt wird. Vor dem Import einer Fremdschrift ist die Lizenz zu prüfen.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R-08 | Unlesbarer Kontrast | Die Akzentfarbe einer Aktion ist ab FA-24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Farbwert (vorher nur Auswahl aus der Palette). Damit sind Kombinationen möglich, die am 85-Zoll-Schirm aus mehreren Metern unlesbar sind. Gegenmaßnahme ist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(FA-24), nicht die Sperre – Partner-Hausfarben sollen nicht an einem Schwellenwert scheitern. Die Restverantwortung bleibt beim Nutzer; maßgeblich ist die Kontrolle am Gerät.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11. Ausbaustufen (Roadmap, optional)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späterem Bedarf ohne Architekturbruch erweiterbar: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Dedizierter Player (z. B. Raspberry Pi):</w:t>
      </w:r>
      <w:r>
        <w:rPr>
          <w:rFonts w:ascii="Arial" w:cs="Arial" w:eastAsia="Arial" w:hAnsi="Arial"/>
          <w:sz w:val="20"/>
          <w:szCs w:val="20"/>
        </w:rPr>
        <w:t xml:space="preserve"> ermöglicht echten Auto-Start beim Booten und automatische Wiederherstellung nach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Studios / zentrale Verwaltung:</w:t>
      </w:r>
      <w:r>
        <w:rPr>
          <w:rFonts w:ascii="Arial" w:cs="Arial" w:eastAsia="Arial" w:hAnsi="Arial"/>
          <w:sz w:val="20"/>
          <w:szCs w:val="20"/>
        </w:rPr>
        <w:t xml:space="preserve"> zentrale Inhaltsverwaltung mit Verteilung an mehrere Bildschirme.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Scheduling:</w:t>
      </w:r>
      <w:r>
        <w:rPr>
          <w:rFonts w:ascii="Arial" w:cs="Arial" w:eastAsia="Arial" w:hAnsi="Arial"/>
          <w:sz w:val="20"/>
          <w:szCs w:val="20"/>
        </w:rPr>
        <w:t xml:space="preserve"> zeit- oder tagesabhängige Steuerung der angezeigten Inhalte.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12. Akzeptanzkriterien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erste Version gilt als erfolgreich, wenn: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Videos sowie Produkte/Aktionen über die Oberfläche angelegt, bearbeitet, gelöscht und in der Reihenfolge angeordnet werden können (FA-01 bis FA-05).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Aus der Zusammenstellung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abspielbare MP4-Datei erzeugt und auf einen USB-Speicher exportiert wird (FA-08, 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Diese MP4 auf dem Studio-Fernseher als Endlosschleife wiedergegeben wird (Abschnitt 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Bedienung ohne technische Vorkenntnisse möglich ist (NFA-01).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Länger laufende Vorgänge (Import, Render, Export) in der Prozessübersicht sichtbar sind und fehlgeschlagene Vorgänge erneut ausgeführt werden können (FA-16, FA-17).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Änderungen gehen nicht verloren: die Anwendung speichert fortlaufend automatisch und stellt beim Start das zuletzt aktive Projekt wieder her (FA-15, NFA-02).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Fehlende Medien werden vor dem Rendern erkannt und der Nutzer wird geführt, bis alle kaputten Elemente behoben sind (FA-19).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Werbeinhalte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parallel</w:t>
      </w:r>
      <w:r>
        <w:rPr>
          <w:rFonts w:ascii="Arial" w:cs="Arial" w:eastAsia="Arial" w:hAnsi="Arial"/>
          <w:sz w:val="20"/>
          <w:szCs w:val="20"/>
        </w:rPr>
        <w:t xml:space="preserve"> während eines Videos als Band unten angezeigt werden, mit mehreren rotierenden Aktionen (FA-20, Abschnitt 4.5).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Projekt kann mehrere benannte Ausgabedateien vorhalten; erneutes Rendern unter demselben Namen ersetzt die vorige Fassung, ohne sie bei einem Fehlschlag zu beschädigen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Eine Aktion kann eine andere als die eingebaute Marke tragen; das gerenderte Video zeigt deren Logo und Farben, während Band-Hintergrund und Restflächen in der Projekt-Standardmarke bleiben (FA-23, FA-24, Abschnitt 4.8).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13. Glossar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Digital Signage:</w:t>
      </w:r>
      <w:r>
        <w:rPr>
          <w:rFonts w:ascii="Arial" w:cs="Arial" w:eastAsia="Arial" w:hAnsi="Arial"/>
          <w:sz w:val="20"/>
          <w:szCs w:val="20"/>
        </w:rPr>
        <w:t xml:space="preserve"> Digitale Beschilderung – computergesteuerte Anzeige von Inhalten auf Bildschirmen.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Aus einem Produkt/einer Aktion erzeugter Video- oder Bildabschnitt mit fester Anzeigedauer.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Rendering:</w:t>
      </w:r>
      <w:r>
        <w:rPr>
          <w:rFonts w:ascii="Arial" w:cs="Arial" w:eastAsia="Arial" w:hAnsi="Arial"/>
          <w:sz w:val="20"/>
          <w:szCs w:val="20"/>
        </w:rPr>
        <w:t xml:space="preserve"> Erzeugen der finalen Videodatei aus den zusammengestellten Einzelelementen.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Betriebsmodus des Fernsehers, der u. a. die automatische USB-Wiedergabe ermöglicht.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Split-Screen:</w:t>
      </w:r>
      <w:r>
        <w:rPr>
          <w:rFonts w:ascii="Arial" w:cs="Arial" w:eastAsia="Arial" w:hAnsi="Arial"/>
          <w:sz w:val="20"/>
          <w:szCs w:val="20"/>
        </w:rPr>
        <w:t xml:space="preserve"> Hauptbetriebsart – das Video läuft verkleinert oben, darunter ein Werbeband; nichts wird verdeckt (4.5).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Einblendung:</w:t>
      </w:r>
      <w:r>
        <w:rPr>
          <w:rFonts w:ascii="Arial" w:cs="Arial" w:eastAsia="Arial" w:hAnsi="Arial"/>
          <w:sz w:val="20"/>
          <w:szCs w:val="20"/>
        </w:rPr>
        <w:t xml:space="preserve"> Parallele Anzeige, bei der das Video vollflächig bleibt und das Werbeband darüber liegt (verdeckt den unteren Bildbereich).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Werbeband (Band):</w:t>
      </w:r>
      <w:r>
        <w:rPr>
          <w:rFonts w:ascii="Arial" w:cs="Arial" w:eastAsia="Arial" w:hAnsi="Arial"/>
          <w:sz w:val="20"/>
          <w:szCs w:val="20"/>
        </w:rPr>
        <w:t xml:space="preserve"> Der schmale Bereich mit Werbeinhalt bei Split-Screen bzw. Einblendung; seine Höhe legt die Vorlage fest.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Vorlage:</w:t>
      </w:r>
      <w:r>
        <w:rPr>
          <w:rFonts w:ascii="Arial" w:cs="Arial" w:eastAsia="Arial" w:hAnsi="Arial"/>
          <w:sz w:val="20"/>
          <w:szCs w:val="20"/>
        </w:rPr>
        <w:t xml:space="preserve"> Datengetriebene Layout-Definition aus Zonen (feste Markenzonen + freie Zonen). Ihre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bestimmt, ob sie ein vollflächiges Segment, ein Split-Screen-Band oder eine Einblendung beschreibt.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Arbeitskopie:</w:t>
      </w:r>
      <w:r>
        <w:rPr>
          <w:rFonts w:ascii="Arial" w:cs="Arial" w:eastAsia="Arial" w:hAnsi="Arial"/>
          <w:sz w:val="20"/>
          <w:szCs w:val="20"/>
        </w:rPr>
        <w:t xml:space="preserve"> Bearbeitungsstand einer Vorlage. Wird automatisch gesichert, verändert die genutzte Vorlage aber erst beim expliziten Speichern (4.6).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 / Auftrags-Queue:</w:t>
      </w:r>
      <w:r>
        <w:rPr>
          <w:rFonts w:ascii="Arial" w:cs="Arial" w:eastAsia="Arial" w:hAnsi="Arial"/>
          <w:sz w:val="20"/>
          <w:szCs w:val="20"/>
        </w:rPr>
        <w:t xml:space="preserve"> Ein länger laufender oder dateiverändernder Vorgang (Import, Löschen, Render, Export) wird als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 in einer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Warteschlange</w:t>
      </w:r>
      <w:r>
        <w:rPr>
          <w:rFonts w:ascii="Arial" w:cs="Arial" w:eastAsia="Arial" w:hAnsi="Arial"/>
          <w:sz w:val="20"/>
          <w:szCs w:val="20"/>
        </w:rPr>
        <w:t xml:space="preserve"> (Queue) geführt. Aufträge werden nacheinander abgearbeitet und sind für den Nutzer sichtbar (laufend, anstehend, fehlgeschlagen).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2026-08-10T14:28:37.335Z</dcterms:created>
  <dcterms:modified xsi:type="dcterms:W3CDTF">2026-08-10T14:28:37.356Z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