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v1.2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2.9 (HLD vollständig, geprüft)</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04.08.2026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sz w:val="20"/>
          <w:szCs w:val="20"/>
        </w:rPr>
        <w:t xml:space="preserve">1. Zweck und Einordnung</w:t>
      </w:r>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v1.2</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r>
        <w:rPr>
          <w:rFonts w:ascii="Arial" w:cs="Arial" w:eastAsia="Arial" w:hAnsi="Arial"/>
          <w:sz w:val="20"/>
          <w:szCs w:val="20"/>
        </w:rPr>
        <w:t xml:space="preserve">2. Architektur-Überblick</w:t>
      </w:r>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r>
        <w:rPr>
          <w:rFonts w:ascii="Arial" w:cs="Arial" w:eastAsia="Arial" w:hAnsi="Arial"/>
          <w:sz w:val="20"/>
          <w:szCs w:val="20"/>
        </w:rPr>
        <w:t xml:space="preserve">3. Technologie-Stack (entschieden)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r>
        <w:rPr>
          <w:rFonts w:ascii="Arial" w:cs="Arial" w:eastAsia="Arial" w:hAnsi="Arial"/>
          <w:sz w:val="20"/>
          <w:szCs w:val="20"/>
        </w:rPr>
        <w:t xml:space="preserve">4. Datenbestand nach Lebensdauer</w:t>
      </w:r>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i/>
          <w:iCs/>
          <w:sz w:val="20"/>
          <w:szCs w:val="20"/>
        </w:rPr>
        <w:t xml:space="preserve">(FA-15, FA-10)</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(Video|Bild|Aktions-Segment),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Marken-/Design-Konfiguration</w:t>
      </w:r>
      <w:r>
        <w:rPr>
          <w:rFonts w:ascii="Arial" w:cs="Arial" w:eastAsia="Arial" w:hAnsi="Arial"/>
          <w:sz w:val="20"/>
          <w:szCs w:val="20"/>
        </w:rPr>
        <w:t xml:space="preserve"> – Palette, Schriften, Logo. </w:t>
      </w:r>
      <w:r>
        <w:rPr>
          <w:rFonts w:ascii="Arial" w:cs="Arial" w:eastAsia="Arial" w:hAnsi="Arial"/>
          <w:i/>
          <w:iCs/>
          <w:sz w:val="20"/>
          <w:szCs w:val="20"/>
        </w:rPr>
        <w:t xml:space="preserve">(4.2)</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r>
        <w:rPr>
          <w:rFonts w:ascii="Arial" w:cs="Arial" w:eastAsia="Arial" w:hAnsi="Arial"/>
          <w:sz w:val="20"/>
          <w:szCs w:val="20"/>
        </w:rPr>
        <w:t xml:space="preserve">5. Modellierungs-Entscheidungen</w:t>
      </w:r>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r>
        <w:rPr>
          <w:rFonts w:ascii="Arial" w:cs="Arial" w:eastAsia="Arial" w:hAnsi="Arial"/>
          <w:sz w:val="20"/>
          <w:szCs w:val="20"/>
        </w:rPr>
        <w:t xml:space="preserve">6. Speicher- und Ordnerkonventionen</w:t>
      </w:r>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Marke,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r>
        <w:rPr>
          <w:rFonts w:ascii="Arial" w:cs="Arial" w:eastAsia="Arial" w:hAnsi="Arial"/>
          <w:sz w:val="20"/>
          <w:szCs w:val="20"/>
        </w:rPr>
        <w:t xml:space="preserve">7. Datenfluss – Prozesse und Speicher</w:t>
      </w:r>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r>
        <w:rPr>
          <w:rFonts w:ascii="Arial" w:cs="Arial" w:eastAsia="Arial" w:hAnsi="Arial"/>
          <w:sz w:val="20"/>
          <w:szCs w:val="20"/>
        </w:rPr>
        <w:t xml:space="preserve">7.1 Prozess-Katalog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r>
        <w:rPr>
          <w:rFonts w:ascii="Arial" w:cs="Arial" w:eastAsia="Arial" w:hAnsi="Arial"/>
          <w:sz w:val="20"/>
          <w:szCs w:val="20"/>
        </w:rPr>
        <w:t xml:space="preserve">7.2 Speicher-Katalog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Marke,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r>
        <w:rPr>
          <w:rFonts w:ascii="Arial" w:cs="Arial" w:eastAsia="Arial" w:hAnsi="Arial"/>
          <w:sz w:val="20"/>
          <w:szCs w:val="20"/>
        </w:rPr>
        <w:t xml:space="preserve">7.3 Datenfluss-Tabelle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Marke,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D3 | Marke (für Aktions-Segmente)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r>
        <w:rPr>
          <w:rFonts w:ascii="Arial" w:cs="Arial" w:eastAsia="Arial" w:hAnsi="Arial"/>
          <w:sz w:val="20"/>
          <w:szCs w:val="20"/>
        </w:rPr>
        <w:t xml:space="preserve">7.4 Die zwei Render-Arten</w:t>
      </w:r>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r>
        <w:rPr>
          <w:rFonts w:ascii="Arial" w:cs="Arial" w:eastAsia="Arial" w:hAnsi="Arial"/>
          <w:sz w:val="20"/>
          <w:szCs w:val="20"/>
        </w:rPr>
        <w:t xml:space="preserve">8. Vorschau-Konzept (UI-Simulation)</w:t>
      </w:r>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Bilder</w:t>
      </w:r>
      <w:r>
        <w:rPr>
          <w:rFonts w:ascii="Arial" w:cs="Arial" w:eastAsia="Arial" w:hAnsi="Arial"/>
          <w:sz w:val="20"/>
          <w:szCs w:val="20"/>
        </w:rPr>
        <w:t xml:space="preserve"> werden gleich eingepasst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dieselbe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r>
        <w:rPr>
          <w:rFonts w:ascii="Arial" w:cs="Arial" w:eastAsia="Arial" w:hAnsi="Arial"/>
          <w:sz w:val="20"/>
          <w:szCs w:val="20"/>
        </w:rPr>
        <w:t xml:space="preserve">9. High-Level-Design (Module &amp; Schnittstellen)</w:t>
      </w:r>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sowie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r>
        <w:rPr>
          <w:rFonts w:ascii="Arial" w:cs="Arial" w:eastAsia="Arial" w:hAnsi="Arial"/>
          <w:sz w:val="20"/>
          <w:szCs w:val="20"/>
        </w:rPr>
        <w:t xml:space="preserve">9.1 IPC-Vertrag: Granularität (Variante A) und Konventionen</w:t>
      </w:r>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pStyle w:val="Heading2"/>
      </w:pPr>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drei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Datei in D2 | </w:t>
            </w:r>
            <w:r>
              <w:rPr>
                <w:rFonts w:ascii="Arial" w:cs="Arial" w:eastAsia="Arial" w:hAnsi="Arial"/>
                <w:b/>
                <w:bCs/>
                <w:sz w:val="20"/>
                <w:szCs w:val="20"/>
              </w:rPr>
              <w:t xml:space="preserve">nein</w:t>
            </w:r>
            <w:r>
              <w:rPr>
                <w:rFonts w:ascii="Arial" w:cs="Arial" w:eastAsia="Arial" w:hAnsi="Arial"/>
                <w:sz w:val="20"/>
                <w:szCs w:val="20"/>
              </w:rPr>
              <w:t xml:space="preserve"> – Main liest per Pfad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bl>
    <w:p>
      <w:pPr>
        <w:spacing w:after="80"/>
      </w:pP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und Gesamtdauer; daraus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holt den Wert </w:t>
      </w:r>
      <w:r>
        <w:rPr>
          <w:rFonts w:ascii="Arial" w:cs="Arial" w:eastAsia="Arial" w:hAnsi="Arial"/>
          <w:b/>
          <w:bCs/>
          <w:sz w:val="20"/>
          <w:szCs w:val="20"/>
        </w:rPr>
        <w:t xml:space="preserve">über die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und tippt ihn </w:t>
      </w:r>
      <w:r>
        <w:rPr>
          <w:rFonts w:ascii="Arial" w:cs="Arial" w:eastAsia="Arial" w:hAnsi="Arial"/>
          <w:b/>
          <w:bCs/>
          <w:sz w:val="20"/>
          <w:szCs w:val="20"/>
        </w:rPr>
        <w:t xml:space="preserve">nie</w:t>
      </w:r>
      <w:r>
        <w:rPr>
          <w:rFonts w:ascii="Arial" w:cs="Arial" w:eastAsia="Arial" w:hAnsi="Arial"/>
          <w:sz w:val="20"/>
          <w:szCs w:val="20"/>
        </w:rPr>
        <w:t xml:space="preserve"> als Hexzahl in eine Filterkette – sonst hätte das Projekt zwei Quellen für dieselbe Farbe (9.11.1, Punkt 7).</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Marke, s. o.);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bl>
    <w:p>
      <w:pPr>
        <w:spacing w:after="80"/>
      </w:pPr>
    </w:p>
    <w:p>
      <w:pPr>
        <w:pStyle w:val="Heading2"/>
      </w:pPr>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geändertAm, 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w:t>
            </w:r>
          </w:p>
        </w:tc>
      </w:tr>
    </w:tbl>
    <w:p>
      <w:pPr>
        <w:spacing w:after="80"/>
      </w:pP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w:t>
            </w:r>
          </w:p>
        </w:tc>
      </w:tr>
    </w:tbl>
    <w:p>
      <w:pPr>
        <w:spacing w:after="80"/>
      </w:pP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für Bild/Segment)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vorher präzise warnen kann („wird aus 2 Elementen entfernt und aus dem Werbeband von 3 Videos").</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 Marke.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Arial" w:cs="Arial" w:eastAsia="Arial" w:hAnsi="Arial"/>
                <w:b/>
                <w:bCs/>
                <w:sz w:val="20"/>
                <w:szCs w:val="20"/>
              </w:rPr>
              <w:t xml:space="preserve">nur lesend</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Marke gebündelt &amp; read-only</w:t>
      </w:r>
      <w:r>
        <w:rPr>
          <w:rFonts w:ascii="Arial" w:cs="Arial" w:eastAsia="Arial" w:hAnsi="Arial"/>
          <w:sz w:val="20"/>
          <w:szCs w:val="20"/>
        </w:rPr>
        <w:t xml:space="preserve"> im MVP (Palette #FF4040 …, Logo fix); ein Marken-Editor ist kein MVP (wie FA-13).</w:t>
      </w: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Bild direkt als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(Video/Bild)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pStyle w:val="Heading2"/>
      </w:pPr>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akzentfarbe:  string          // aus der Markenpalette (feste Auswahl, v1)</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nur aus der Markenpalette</w:t>
      </w:r>
      <w:r>
        <w:rPr>
          <w:rFonts w:ascii="Arial" w:cs="Arial" w:eastAsia="Arial" w:hAnsi="Arial"/>
          <w:sz w:val="20"/>
          <w:szCs w:val="20"/>
        </w:rPr>
        <w:t xml:space="preserve"> (feste Auswahl in v1, kein freier Farbwähler) – so bricht keine Aktion aus dem Corporate Design aus.</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als Startwert übernommen, danach überschreibbar.</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Bild:</w:t>
      </w:r>
      <w:r>
        <w:rPr>
          <w:rFonts w:ascii="Arial" w:cs="Arial" w:eastAsia="Arial" w:hAnsi="Arial"/>
          <w:sz w:val="20"/>
          <w:szCs w:val="20"/>
        </w:rPr>
        <w:t xml:space="preserve">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w:t>
      </w:r>
      <w:r>
        <w:rPr>
          <w:rFonts w:ascii="Arial" w:cs="Arial" w:eastAsia="Arial" w:hAnsi="Arial"/>
          <w:b/>
          <w:bCs/>
          <w:sz w:val="20"/>
          <w:szCs w:val="20"/>
        </w:rPr>
        <w:t xml:space="preserve">dieselbe</w:t>
      </w:r>
      <w:r>
        <w:rPr>
          <w:rFonts w:ascii="Arial" w:cs="Arial" w:eastAsia="Arial" w:hAnsi="Arial"/>
          <w:sz w:val="20"/>
          <w:szCs w:val="20"/>
        </w:rPr>
        <w:t xml:space="preserv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2"/>
      </w:pPr>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"headlineDisplay"</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seitenverhaeltnis }  // Balken ist im Asset enthalten</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w:t>
      </w:r>
    </w:p>
    <w:p>
      <w:pPr>
        <w:spacing w:after="80"/>
      </w:pP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 ist in v1 gebündelt und read-only</w:t>
      </w:r>
      <w:r>
        <w:rPr>
          <w:rFonts w:ascii="Arial" w:cs="Arial" w:eastAsia="Arial" w:hAnsi="Arial"/>
          <w:sz w:val="20"/>
          <w:szCs w:val="20"/>
        </w:rPr>
        <w:t xml:space="preserve">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ein Marken-Editor ist kein MVP.</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"bild" | "segment"</w:t>
      </w:r>
    </w:p>
    <w:p>
      <w:pPr>
        <w:shd w:fill="F5F5F3" w:val="clear"/>
        <w:spacing w:after="0"/>
      </w:pPr>
      <w:r>
        <w:rPr>
          <w:rFonts w:ascii="Consolas" w:cs="Consolas" w:eastAsia="Consolas" w:hAnsi="Consolas"/>
          <w:sz w:val="18"/>
          <w:szCs w:val="18"/>
        </w:rPr>
        <w:t xml:space="preserve">  ref:         string                                   // Asset-ID (video|bild) oder Aktions-ID (segment)</w:t>
      </w:r>
    </w:p>
    <w:p>
      <w:pPr>
        <w:shd w:fill="F5F5F3" w:val="clear"/>
        <w:spacing w:after="0"/>
      </w:pPr>
      <w:r>
        <w:rPr>
          <w:rFonts w:ascii="Consolas" w:cs="Consolas" w:eastAsia="Consolas" w:hAnsi="Consolas"/>
          <w:sz w:val="18"/>
          <w:szCs w:val="18"/>
        </w:rPr>
        <w:t xml:space="preserve">  dauer:       number | null                            // Sekunden – bei bild/segment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für Bild/Segment und </w:t>
            </w:r>
            <w:r>
              <w:rPr>
                <w:rFonts w:ascii="Consolas" w:cs="Consolas" w:eastAsia="Consolas" w:hAnsi="Consolas"/>
                <w:sz w:val="19"/>
                <w:szCs w:val="19"/>
                <w:shd w:fill="F5F5F3" w:val="clear"/>
              </w:rPr>
              <w:t xml:space="preserve">Aktion.standardDauer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 </w:t>
            </w:r>
            <w:r>
              <w:rPr>
                <w:rFonts w:ascii="Arial" w:cs="Arial" w:eastAsia="Arial" w:hAnsi="Arial"/>
                <w:b/>
                <w:bCs/>
                <w:sz w:val="20"/>
                <w:szCs w:val="20"/>
              </w:rPr>
              <w:t xml:space="preserve">96 / 54 px</w:t>
            </w:r>
            <w:r>
              <w:rPr>
                <w:rFonts w:ascii="Arial" w:cs="Arial" w:eastAsia="Arial" w:hAnsi="Arial"/>
                <w:sz w:val="20"/>
                <w:szCs w:val="20"/>
              </w:rPr>
              <w:t xml:space="preserve"> | im 1920×1080-Rahmen (9.10.5,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und der Migration gelesen (9.5.5) – </w:t>
            </w:r>
            <w:r>
              <w:rPr>
                <w:rFonts w:ascii="Arial" w:cs="Arial" w:eastAsia="Arial" w:hAnsi="Arial"/>
                <w:b/>
                <w:bCs/>
                <w:sz w:val="20"/>
                <w:szCs w:val="20"/>
              </w:rPr>
              <w:t xml:space="preserve">eine</w:t>
            </w:r>
            <w:r>
              <w:rPr>
                <w:rFonts w:ascii="Arial" w:cs="Arial" w:eastAsia="Arial" w:hAnsi="Arial"/>
                <w:sz w:val="20"/>
                <w:szCs w:val="20"/>
              </w:rPr>
              <w:t xml:space="preserve"> Stelle, sonst laufen drei Kopien auseinander</w:t>
            </w:r>
          </w:p>
        </w:tc>
      </w:tr>
    </w:tbl>
    <w:p>
      <w:pPr>
        <w:spacing w:after="80"/>
      </w:pPr>
    </w:p>
    <w:p>
      <w:pPr>
        <w:pStyle w:val="Heading2"/>
      </w:pPr>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bl>
    <w:p>
      <w:pPr>
        <w:spacing w:after="80"/>
      </w:pP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Lösch-Sperre selbst sitzt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r>
        <w:rPr>
          <w:rFonts w:ascii="Arial" w:cs="Arial" w:eastAsia="Arial" w:hAnsi="Arial"/>
          <w:sz w:val="20"/>
          <w:szCs w:val="20"/>
        </w:rPr>
        <w:t xml:space="preserve">9.13 Undo/Redo (Projekt-Bearbeitung und Vorlagen-Editor)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aktualisiert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fünf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Projekte        = Projektverwaltung (FA-10)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brauchen </w:t>
      </w:r>
      <w:r>
        <w:rPr>
          <w:rFonts w:ascii="Arial" w:cs="Arial" w:eastAsia="Arial" w:hAnsi="Arial"/>
          <w:b/>
          <w:bCs/>
          <w:sz w:val="20"/>
          <w:szCs w:val="20"/>
        </w:rPr>
        <w:t xml:space="preserve">beide</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die anderen Reiter zeigen einen Hinweis, keine Fehlermeldung.</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fünf Modulen.</w:t>
      </w: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9.5.6),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zwölf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df94c47af50f7913e654cf2e632c8f7730d42d6.png"/><Relationship Id="rId8" Type="http://schemas.openxmlformats.org/officeDocument/2006/relationships/image" Target="media/9963ba7420953ccbf0f9ccd153c1bc754c28e1d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2026-08-04T13:54:54.447Z</dcterms:created>
  <dcterms:modified xsi:type="dcterms:W3CDTF">2026-08-04T13:54:54.448Z</dcterms:modified>
</cp:coreProperties>
</file>

<file path=docProps/custom.xml><?xml version="1.0" encoding="utf-8"?>
<Properties xmlns="http://schemas.openxmlformats.org/officeDocument/2006/custom-properties" xmlns:vt="http://schemas.openxmlformats.org/officeDocument/2006/docPropsVTypes"/>
</file>