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cohort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22,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VerbatimChar"/>
        </w:rPr>
        <w:t xml:space="preserve">## Warning: Removed 210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cohort_20230822.09h55m10s_files/figure-docx/AB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210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cohort_20230822.09h55m10s_files/figure-docx/ABR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  <w:r>
        <w:br/>
      </w:r>
      <w:r>
        <w:rPr>
          <w:rStyle w:val="VerbatimChar"/>
        </w:rPr>
        <w:t xml:space="preserve">## Removed 70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207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cohort_20230822.09h55m10s_files/figure-docx/Survival%20and%20Qo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</w:p>
    <w:p>
      <w:pPr>
        <w:pStyle w:val="SourceCode"/>
      </w:pPr>
      <w:r>
        <w:rPr>
          <w:rStyle w:val="VerbatimChar"/>
        </w:rPr>
        <w:t xml:space="preserve">## Warning: Removed 70 rows containing missing values (`geom_line()`).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cohort_20230822.09h55m10s_files/figure-docx/Survival%20and%20QoL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pandoc.table(cycle_length_comp_LYs, "Comparison Life Years", style = 'rmarkdown')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&amp;nbsp;     | ETRANACOGENE | PROPHYLAXIS |</w:t>
      </w:r>
      <w:r>
        <w:br/>
      </w:r>
      <w:r>
        <w:rPr>
          <w:rStyle w:val="VerbatimChar"/>
        </w:rPr>
        <w:t xml:space="preserve">## |:-------------:|:------------:|:-----------:|</w:t>
      </w:r>
      <w:r>
        <w:br/>
      </w:r>
      <w:r>
        <w:rPr>
          <w:rStyle w:val="VerbatimChar"/>
        </w:rPr>
        <w:t xml:space="preserve">## | **12 months** |    21.91     |    21.55    |</w:t>
      </w:r>
      <w:r>
        <w:br/>
      </w:r>
      <w:r>
        <w:rPr>
          <w:rStyle w:val="VerbatimChar"/>
        </w:rPr>
        <w:t xml:space="preserve">## | **3 months**  |    21.57     |    21.23    |</w:t>
      </w:r>
      <w:r>
        <w:br/>
      </w:r>
      <w:r>
        <w:rPr>
          <w:rStyle w:val="VerbatimChar"/>
        </w:rPr>
        <w:t xml:space="preserve">## |  **1 month**  |    21.52     |    21.17    |</w:t>
      </w:r>
      <w:r>
        <w:br/>
      </w:r>
      <w:r>
        <w:rPr>
          <w:rStyle w:val="VerbatimChar"/>
        </w:rPr>
        <w:t xml:space="preserve">## |  **1 week**   |    21.49     |    21.14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Life Years</w:t>
      </w:r>
    </w:p>
    <w:p>
      <w:pPr>
        <w:pStyle w:val="SourceCode"/>
      </w:pPr>
      <w:r>
        <w:rPr>
          <w:rStyle w:val="VerbatimChar"/>
        </w:rPr>
        <w:t xml:space="preserve"># We see a relevant reduction in the number of LYs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  <w:r>
        <w:br/>
      </w:r>
      <w:r>
        <w:br/>
      </w:r>
      <w:r>
        <w:rPr>
          <w:rStyle w:val="VerbatimChar"/>
        </w:rPr>
        <w:t xml:space="preserve">pandoc.table(cycle_length_comp_costs, "Comparison Costs", style = 'rmarkdown')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&amp;nbsp;     | ETRANACOGENE | PROPHYLAXIS |</w:t>
      </w:r>
      <w:r>
        <w:br/>
      </w:r>
      <w:r>
        <w:rPr>
          <w:rStyle w:val="VerbatimChar"/>
        </w:rPr>
        <w:t xml:space="preserve">## |:-------------:|:------------:|:-----------:|</w:t>
      </w:r>
      <w:r>
        <w:br/>
      </w:r>
      <w:r>
        <w:rPr>
          <w:rStyle w:val="VerbatimChar"/>
        </w:rPr>
        <w:t xml:space="preserve">## | **12 months** |   5629957    |   7108287   |</w:t>
      </w:r>
      <w:r>
        <w:br/>
      </w:r>
      <w:r>
        <w:rPr>
          <w:rStyle w:val="VerbatimChar"/>
        </w:rPr>
        <w:t xml:space="preserve">## | **3 months**  |   5559866    |   7003264   |</w:t>
      </w:r>
      <w:r>
        <w:br/>
      </w:r>
      <w:r>
        <w:rPr>
          <w:rStyle w:val="VerbatimChar"/>
        </w:rPr>
        <w:t xml:space="preserve">## |  **1 month**  |   5586220    |   6986025   |</w:t>
      </w:r>
      <w:r>
        <w:br/>
      </w:r>
      <w:r>
        <w:rPr>
          <w:rStyle w:val="VerbatimChar"/>
        </w:rPr>
        <w:t xml:space="preserve">## |  **1 week**   |   5592474    |   6975326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Costs</w:t>
      </w:r>
    </w:p>
    <w:p>
      <w:pPr>
        <w:pStyle w:val="SourceCode"/>
      </w:pPr>
      <w:r>
        <w:rPr>
          <w:rStyle w:val="VerbatimChar"/>
        </w:rPr>
        <w:t xml:space="preserve"># For ENDOSCAPE: Costs increase considerably with shorter cycle lengths, since</w:t>
      </w:r>
      <w:r>
        <w:br/>
      </w:r>
      <w:r>
        <w:rPr>
          <w:rStyle w:val="VerbatimChar"/>
        </w:rPr>
        <w:t xml:space="preserve"># retreatment can occur earlier with shorter cycles</w:t>
      </w:r>
      <w:r>
        <w:br/>
      </w:r>
      <w:r>
        <w:br/>
      </w:r>
      <w:r>
        <w:rPr>
          <w:rStyle w:val="VerbatimChar"/>
        </w:rPr>
        <w:t xml:space="preserve"># For viral gene therapy and prophylaxis: </w:t>
      </w:r>
      <w:r>
        <w:br/>
      </w:r>
      <w:r>
        <w:rPr>
          <w:rStyle w:val="VerbatimChar"/>
        </w:rPr>
        <w:t xml:space="preserve"># We see a relevant reduction in the costs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  <w:r>
        <w:br/>
      </w:r>
      <w:r>
        <w:br/>
      </w:r>
      <w:r>
        <w:rPr>
          <w:rStyle w:val="VerbatimChar"/>
        </w:rPr>
        <w:t xml:space="preserve">pandoc.table(cycle_length_INMB, "Comparison Incremental Net Monetary Benefit", style = 'rmarkdown')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&amp;nbsp;     | ETRANACOGENE vs. PROPHYLAXIS |</w:t>
      </w:r>
      <w:r>
        <w:br/>
      </w:r>
      <w:r>
        <w:rPr>
          <w:rStyle w:val="VerbatimChar"/>
        </w:rPr>
        <w:t xml:space="preserve">## |:-------------:|:----------------------------:|</w:t>
      </w:r>
      <w:r>
        <w:br/>
      </w:r>
      <w:r>
        <w:rPr>
          <w:rStyle w:val="VerbatimChar"/>
        </w:rPr>
        <w:t xml:space="preserve">## | **12 months** |           1504734            |</w:t>
      </w:r>
      <w:r>
        <w:br/>
      </w:r>
      <w:r>
        <w:rPr>
          <w:rStyle w:val="VerbatimChar"/>
        </w:rPr>
        <w:t xml:space="preserve">## | **3 months**  |           1468628            |</w:t>
      </w:r>
      <w:r>
        <w:br/>
      </w:r>
      <w:r>
        <w:rPr>
          <w:rStyle w:val="VerbatimChar"/>
        </w:rPr>
        <w:t xml:space="preserve">## |  **1 month**  |           1424925            |</w:t>
      </w:r>
      <w:r>
        <w:br/>
      </w:r>
      <w:r>
        <w:rPr>
          <w:rStyle w:val="VerbatimChar"/>
        </w:rPr>
        <w:t xml:space="preserve">## |  **1 week**   |           1407957    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Incremental Net Monetary Benefit</w:t>
      </w:r>
    </w:p>
    <w:p>
      <w:pPr>
        <w:pStyle w:val="SourceCode"/>
      </w:pPr>
      <w:r>
        <w:rPr>
          <w:rStyle w:val="VerbatimChar"/>
        </w:rPr>
        <w:t xml:space="preserve"># We see a relevant reduction in the INMB based on shorter cycle lengths,</w:t>
      </w:r>
      <w:r>
        <w:br/>
      </w:r>
      <w:r>
        <w:rPr>
          <w:rStyle w:val="VerbatimChar"/>
        </w:rPr>
        <w:t xml:space="preserve"># though the difference between one month and one week is very small</w:t>
      </w:r>
    </w:p>
    <w:bookmarkStart w:id="32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19045)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rmarkdown_2.23 captioner_2.2.3 ggrepel_0.9.3 plyr_1.8.8 ggpubr_0.6.0 truncnorm_1.0-9 lookup_1.0 data.table_1.14.8 pander_0.6.5 RColorBrewer_1.1-3</w:t>
      </w:r>
      <w:r>
        <w:t xml:space="preserve"> </w:t>
      </w:r>
      <w:r>
        <w:t xml:space="preserve">[11]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gtable_0.3.3 highr_0.10 dplyr_1.1.2 compiler_4.3.1 ggsignif_0.6.4 tidyselect_1.2.0 Rcpp_1.0.11 tidyr_1.3.0 scales_1.2.1 yaml_2.3.7</w:t>
      </w:r>
      <w:r>
        <w:br/>
      </w:r>
      <w:r>
        <w:t xml:space="preserve">[11] fastmap_1.1.1 R6_2.5.1 generics_0.1.3 knitr_1.43 backports_1.4.1 tibble_3.2.1 car_3.1-2 munsell_0.5.0 pillar_1.9.0 rlang_1.1.1</w:t>
      </w:r>
      <w:r>
        <w:br/>
      </w:r>
      <w:r>
        <w:t xml:space="preserve">[21] utf8_1.2.3 broom_1.0.5 xfun_0.39 cli_3.6.1 withr_2.5.0 magrittr_2.0.3 digest_0.6.33 grid_4.3.1 rstudioapi_0.15.0 lifecycle_1.0.3</w:t>
      </w:r>
      <w:r>
        <w:br/>
      </w:r>
      <w:r>
        <w:t xml:space="preserve">[31] vctrs_0.6.3 rstatix_0.7.2 evaluate_0.21 glue_1.6.2 farver_2.1.1 abind_1.4-5 carData_3.0-5 fansi_1.0.4 colorspace_2.1-0 purrr_1.0.1</w:t>
      </w:r>
      <w:r>
        <w:br/>
      </w:r>
      <w:r>
        <w:t xml:space="preserve">[41] tools_4.3.1 pkgconfig_2.0.3 htmltools_0.5.5</w:t>
      </w:r>
    </w:p>
    <w:bookmarkEnd w:id="32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cohort</dc:title>
  <dc:creator>Niklaus Meier</dc:creator>
  <cp:keywords/>
  <dcterms:created xsi:type="dcterms:W3CDTF">2023-08-22T07:55:20Z</dcterms:created>
  <dcterms:modified xsi:type="dcterms:W3CDTF">2023-08-22T07:55:20Z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22,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