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model</w:t>
      </w:r>
      <w:r>
        <w:t xml:space="preserve"> </w:t>
      </w:r>
      <w:r>
        <w:t xml:space="preserve">scenarios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02,</w:t>
      </w:r>
      <w:r>
        <w:t xml:space="preserve"> </w:t>
      </w:r>
      <w:r>
        <w:t xml:space="preserve">2023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(`geom_text_repel()`).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(`geom_text_repel()`).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(`geom_point()`).</w:t>
      </w:r>
      <w:r>
        <w:br/>
      </w:r>
      <w:r>
        <w:rPr>
          <w:rStyle w:val="VerbatimChar"/>
        </w:rPr>
        <w:t xml:space="preserve">## Removed 1 rows containing missing values (`geom_text_repel()`).</w:t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/scenarios_20230802.13h59m28s_files/figure-docx/Comparison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Baseline QALYs | Baseline total costs | Baseline INMB |</w:t>
      </w:r>
      <w:r>
        <w:br/>
      </w:r>
      <w:r>
        <w:rPr>
          <w:rStyle w:val="VerbatimChar"/>
        </w:rPr>
        <w:t xml:space="preserve">## |:------------:|:--------------:|:--------------------:|:-------------:|</w:t>
      </w:r>
      <w:r>
        <w:br/>
      </w:r>
      <w:r>
        <w:rPr>
          <w:rStyle w:val="VerbatimChar"/>
        </w:rPr>
        <w:t xml:space="preserve">## | ETRANACOGENE |     17.17      |       5230829        |       0       |</w:t>
      </w:r>
      <w:r>
        <w:br/>
      </w:r>
      <w:r>
        <w:rPr>
          <w:rStyle w:val="VerbatimChar"/>
        </w:rPr>
        <w:t xml:space="preserve">## | Prophylaxis  |     16.57      |       6444970        |    1244236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1 day vs 7 day bleed disutility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Scenario QALYs | Scenario total costs | Scenario INMB |</w:t>
      </w:r>
      <w:r>
        <w:br/>
      </w:r>
      <w:r>
        <w:rPr>
          <w:rStyle w:val="VerbatimChar"/>
        </w:rPr>
        <w:t xml:space="preserve">## |:--------------:|:--------------------:|:-------------:|</w:t>
      </w:r>
      <w:r>
        <w:br/>
      </w:r>
      <w:r>
        <w:rPr>
          <w:rStyle w:val="VerbatimChar"/>
        </w:rPr>
        <w:t xml:space="preserve">## |       17       |       5231738        |       0       |</w:t>
      </w:r>
      <w:r>
        <w:br/>
      </w:r>
      <w:r>
        <w:rPr>
          <w:rStyle w:val="VerbatimChar"/>
        </w:rPr>
        <w:t xml:space="preserve">## |      16.3      |       6444970        |    1248125    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Baseline QALYs | Baseline total costs |</w:t>
      </w:r>
      <w:r>
        <w:br/>
      </w:r>
      <w:r>
        <w:rPr>
          <w:rStyle w:val="VerbatimChar"/>
        </w:rPr>
        <w:t xml:space="preserve">## |:------------:|:--------------:|:--------------------:|</w:t>
      </w:r>
      <w:r>
        <w:br/>
      </w:r>
      <w:r>
        <w:rPr>
          <w:rStyle w:val="VerbatimChar"/>
        </w:rPr>
        <w:t xml:space="preserve">## | ETRANACOGENE |     17.17      |       5230829        |</w:t>
      </w:r>
      <w:r>
        <w:br/>
      </w:r>
      <w:r>
        <w:rPr>
          <w:rStyle w:val="VerbatimChar"/>
        </w:rPr>
        <w:t xml:space="preserve">## | Prophylaxis  |     16.57      |       6444970  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base case vs 5x costs per day ICU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Baseline costs hosp per bleed | Baseline INMB | Scenario QALYs |</w:t>
      </w:r>
      <w:r>
        <w:br/>
      </w:r>
      <w:r>
        <w:rPr>
          <w:rStyle w:val="VerbatimChar"/>
        </w:rPr>
        <w:t xml:space="preserve">## |:-----------------------------:|:-------------:|:--------------:|</w:t>
      </w:r>
      <w:r>
        <w:br/>
      </w:r>
      <w:r>
        <w:rPr>
          <w:rStyle w:val="VerbatimChar"/>
        </w:rPr>
        <w:t xml:space="preserve">## |             31850             |       0       |     17.17      |</w:t>
      </w:r>
      <w:r>
        <w:br/>
      </w:r>
      <w:r>
        <w:rPr>
          <w:rStyle w:val="VerbatimChar"/>
        </w:rPr>
        <w:t xml:space="preserve">## |             49931             |    1244236    |     16.57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Table continues below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Scenario total costs | Scenario costs hosp per bleed | Scenario INMB |</w:t>
      </w:r>
      <w:r>
        <w:br/>
      </w:r>
      <w:r>
        <w:rPr>
          <w:rStyle w:val="VerbatimChar"/>
        </w:rPr>
        <w:t xml:space="preserve">## |:--------------------:|:-----------------------------:|:-------------:|</w:t>
      </w:r>
      <w:r>
        <w:br/>
      </w:r>
      <w:r>
        <w:rPr>
          <w:rStyle w:val="VerbatimChar"/>
        </w:rPr>
        <w:t xml:space="preserve">## |       5338674        |            129577             |       0       |</w:t>
      </w:r>
      <w:r>
        <w:br/>
      </w:r>
      <w:r>
        <w:rPr>
          <w:rStyle w:val="VerbatimChar"/>
        </w:rPr>
        <w:t xml:space="preserve">## |       6597443        |            202404             |    1288789    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Baseline QALYs | Baseline total costs |</w:t>
      </w:r>
      <w:r>
        <w:br/>
      </w:r>
      <w:r>
        <w:rPr>
          <w:rStyle w:val="VerbatimChar"/>
        </w:rPr>
        <w:t xml:space="preserve">## |:------------:|:--------------:|:--------------------:|</w:t>
      </w:r>
      <w:r>
        <w:br/>
      </w:r>
      <w:r>
        <w:rPr>
          <w:rStyle w:val="VerbatimChar"/>
        </w:rPr>
        <w:t xml:space="preserve">## | ETRANACOGENE |     17.17      |       5230829        |</w:t>
      </w:r>
      <w:r>
        <w:br/>
      </w:r>
      <w:r>
        <w:rPr>
          <w:rStyle w:val="VerbatimChar"/>
        </w:rPr>
        <w:t xml:space="preserve">## | Prophylaxis  |     16.57      |       6444970  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base case no treatment switching for Etranacogene Dezaparvovec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Baseline costs FIX prophylaxis | Baseline INMB | Scenario QALYs |</w:t>
      </w:r>
      <w:r>
        <w:br/>
      </w:r>
      <w:r>
        <w:rPr>
          <w:rStyle w:val="VerbatimChar"/>
        </w:rPr>
        <w:t xml:space="preserve">## |:------------------------------:|:-------------:|:--------------:|</w:t>
      </w:r>
      <w:r>
        <w:br/>
      </w:r>
      <w:r>
        <w:rPr>
          <w:rStyle w:val="VerbatimChar"/>
        </w:rPr>
        <w:t xml:space="preserve">## |            3464972             |       0       |     14.46      |</w:t>
      </w:r>
      <w:r>
        <w:br/>
      </w:r>
      <w:r>
        <w:rPr>
          <w:rStyle w:val="VerbatimChar"/>
        </w:rPr>
        <w:t xml:space="preserve">## |            6029393             |    1244236    |     16.57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Table continues below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Scenario total costs | Scenario costs FIX prophylaxis | Scenario INMB |</w:t>
      </w:r>
      <w:r>
        <w:br/>
      </w:r>
      <w:r>
        <w:rPr>
          <w:rStyle w:val="VerbatimChar"/>
        </w:rPr>
        <w:t xml:space="preserve">## |:--------------------:|:------------------------------:|:-------------:|</w:t>
      </w:r>
      <w:r>
        <w:br/>
      </w:r>
      <w:r>
        <w:rPr>
          <w:rStyle w:val="VerbatimChar"/>
        </w:rPr>
        <w:t xml:space="preserve">## |       2631249        |             223688             |       0       |</w:t>
      </w:r>
      <w:r>
        <w:br/>
      </w:r>
      <w:r>
        <w:rPr>
          <w:rStyle w:val="VerbatimChar"/>
        </w:rPr>
        <w:t xml:space="preserve">## |       6444970        |            6029393             |    3708556    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Baseline QALYs | Baseline total costs |</w:t>
      </w:r>
      <w:r>
        <w:br/>
      </w:r>
      <w:r>
        <w:rPr>
          <w:rStyle w:val="VerbatimChar"/>
        </w:rPr>
        <w:t xml:space="preserve">## |:------------:|:--------------:|:--------------------:|</w:t>
      </w:r>
      <w:r>
        <w:br/>
      </w:r>
      <w:r>
        <w:rPr>
          <w:rStyle w:val="VerbatimChar"/>
        </w:rPr>
        <w:t xml:space="preserve">## | ETRANACOGENE |     17.17      |       5230829        |</w:t>
      </w:r>
      <w:r>
        <w:br/>
      </w:r>
      <w:r>
        <w:rPr>
          <w:rStyle w:val="VerbatimChar"/>
        </w:rPr>
        <w:t xml:space="preserve">## | Prophylaxis  |     16.57      |       6444970  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base case no vial sharing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Baseline costs FIX prophylaxis | Baseline INMB | Scenario QALYs |</w:t>
      </w:r>
      <w:r>
        <w:br/>
      </w:r>
      <w:r>
        <w:rPr>
          <w:rStyle w:val="VerbatimChar"/>
        </w:rPr>
        <w:t xml:space="preserve">## |:------------------------------:|:-------------:|:--------------:|</w:t>
      </w:r>
      <w:r>
        <w:br/>
      </w:r>
      <w:r>
        <w:rPr>
          <w:rStyle w:val="VerbatimChar"/>
        </w:rPr>
        <w:t xml:space="preserve">## |            3464972             |       0       |     17.17      |</w:t>
      </w:r>
      <w:r>
        <w:br/>
      </w:r>
      <w:r>
        <w:rPr>
          <w:rStyle w:val="VerbatimChar"/>
        </w:rPr>
        <w:t xml:space="preserve">## |            6029393             |    1244236    |     16.57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Table continues below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Scenario total costs | Scenario costs FIX prophylaxis | Scenario INMB |</w:t>
      </w:r>
      <w:r>
        <w:br/>
      </w:r>
      <w:r>
        <w:rPr>
          <w:rStyle w:val="VerbatimChar"/>
        </w:rPr>
        <w:t xml:space="preserve">## |:--------------------:|:------------------------------:|:-------------:|</w:t>
      </w:r>
      <w:r>
        <w:br/>
      </w:r>
      <w:r>
        <w:rPr>
          <w:rStyle w:val="VerbatimChar"/>
        </w:rPr>
        <w:t xml:space="preserve">## |       5495005        |            3702124             |       0       |</w:t>
      </w:r>
      <w:r>
        <w:br/>
      </w:r>
      <w:r>
        <w:rPr>
          <w:rStyle w:val="VerbatimChar"/>
        </w:rPr>
        <w:t xml:space="preserve">## |       6902192        |            6444797             |    1437308    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Baseline QALYs | Baseline total costs | Baseline INMB |</w:t>
      </w:r>
      <w:r>
        <w:br/>
      </w:r>
      <w:r>
        <w:rPr>
          <w:rStyle w:val="VerbatimChar"/>
        </w:rPr>
        <w:t xml:space="preserve">## |:------------:|:--------------:|:--------------------:|:-------------:|</w:t>
      </w:r>
      <w:r>
        <w:br/>
      </w:r>
      <w:r>
        <w:rPr>
          <w:rStyle w:val="VerbatimChar"/>
        </w:rPr>
        <w:t xml:space="preserve">## | ETRANACOGENE |     17.17      |       5230829        |       0       |</w:t>
      </w:r>
      <w:r>
        <w:br/>
      </w:r>
      <w:r>
        <w:rPr>
          <w:rStyle w:val="VerbatimChar"/>
        </w:rPr>
        <w:t xml:space="preserve">## | Prophylaxis  |     16.57      |       6444970        |    1244236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base case no vial sharing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Scenario QALYs | Scenario total costs | Scenario INMB |</w:t>
      </w:r>
      <w:r>
        <w:br/>
      </w:r>
      <w:r>
        <w:rPr>
          <w:rStyle w:val="VerbatimChar"/>
        </w:rPr>
        <w:t xml:space="preserve">## |:--------------:|:--------------------:|:-------------:|</w:t>
      </w:r>
      <w:r>
        <w:br/>
      </w:r>
      <w:r>
        <w:rPr>
          <w:rStyle w:val="VerbatimChar"/>
        </w:rPr>
        <w:t xml:space="preserve">## |     23.53      |       7057050        |       0       |</w:t>
      </w:r>
      <w:r>
        <w:br/>
      </w:r>
      <w:r>
        <w:rPr>
          <w:rStyle w:val="VerbatimChar"/>
        </w:rPr>
        <w:t xml:space="preserve">## |      23.2      |       8283696        |    1242885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Table continues below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Baseline costs FIX prophylaxis | Scenario costs FIX prophylaxis |</w:t>
      </w:r>
      <w:r>
        <w:br/>
      </w:r>
      <w:r>
        <w:rPr>
          <w:rStyle w:val="VerbatimChar"/>
        </w:rPr>
        <w:t xml:space="preserve">## |:------------------------------:|:------------------------------:|</w:t>
      </w:r>
      <w:r>
        <w:br/>
      </w:r>
      <w:r>
        <w:rPr>
          <w:rStyle w:val="VerbatimChar"/>
        </w:rPr>
        <w:t xml:space="preserve">## |            3464972             |            5174725             |</w:t>
      </w:r>
      <w:r>
        <w:br/>
      </w:r>
      <w:r>
        <w:rPr>
          <w:rStyle w:val="VerbatimChar"/>
        </w:rPr>
        <w:t xml:space="preserve">## |            6029393             |            7743125             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Baseline QALYs | Baseline total costs | Baseline INMB |</w:t>
      </w:r>
      <w:r>
        <w:br/>
      </w:r>
      <w:r>
        <w:rPr>
          <w:rStyle w:val="VerbatimChar"/>
        </w:rPr>
        <w:t xml:space="preserve">## |:------------:|:--------------:|:--------------------:|:-------------:|</w:t>
      </w:r>
      <w:r>
        <w:br/>
      </w:r>
      <w:r>
        <w:rPr>
          <w:rStyle w:val="VerbatimChar"/>
        </w:rPr>
        <w:t xml:space="preserve">## | ETRANACOGENE |     17.17      |       5230829        |       0       |</w:t>
      </w:r>
      <w:r>
        <w:br/>
      </w:r>
      <w:r>
        <w:rPr>
          <w:rStyle w:val="VerbatimChar"/>
        </w:rPr>
        <w:t xml:space="preserve">## | Prophylaxis  |     16.57      |       6444970        |    1244236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base case no vial sharing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Scenario QALYs | Scenario total costs | Scenario INMB |</w:t>
      </w:r>
      <w:r>
        <w:br/>
      </w:r>
      <w:r>
        <w:rPr>
          <w:rStyle w:val="VerbatimChar"/>
        </w:rPr>
        <w:t xml:space="preserve">## |:--------------:|:--------------------:|:-------------:|</w:t>
      </w:r>
      <w:r>
        <w:br/>
      </w:r>
      <w:r>
        <w:rPr>
          <w:rStyle w:val="VerbatimChar"/>
        </w:rPr>
        <w:t xml:space="preserve">## |      10.2      |       3069173        |       0       |</w:t>
      </w:r>
      <w:r>
        <w:br/>
      </w:r>
      <w:r>
        <w:rPr>
          <w:rStyle w:val="VerbatimChar"/>
        </w:rPr>
        <w:t xml:space="preserve">## |     9.138      |       3881889        |    865960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Table continues below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Baseline costs FIX prophylaxis | Scenario costs FIX prophylaxis |</w:t>
      </w:r>
      <w:r>
        <w:br/>
      </w:r>
      <w:r>
        <w:rPr>
          <w:rStyle w:val="VerbatimChar"/>
        </w:rPr>
        <w:t xml:space="preserve">## |:------------------------------:|:------------------------------:|</w:t>
      </w:r>
      <w:r>
        <w:br/>
      </w:r>
      <w:r>
        <w:rPr>
          <w:rStyle w:val="VerbatimChar"/>
        </w:rPr>
        <w:t xml:space="preserve">## |            3464972             |            1437999             |</w:t>
      </w:r>
      <w:r>
        <w:br/>
      </w:r>
      <w:r>
        <w:rPr>
          <w:rStyle w:val="VerbatimChar"/>
        </w:rPr>
        <w:t xml:space="preserve">## |            6029393             |            3637681             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Baseline QALYs | Baseline total costs | Baseline INMB |</w:t>
      </w:r>
      <w:r>
        <w:br/>
      </w:r>
      <w:r>
        <w:rPr>
          <w:rStyle w:val="VerbatimChar"/>
        </w:rPr>
        <w:t xml:space="preserve">## |:------------:|:--------------:|:--------------------:|:-------------:|</w:t>
      </w:r>
      <w:r>
        <w:br/>
      </w:r>
      <w:r>
        <w:rPr>
          <w:rStyle w:val="VerbatimChar"/>
        </w:rPr>
        <w:t xml:space="preserve">## | ETRANACOGENE |     17.17      |       5230829        |       0       |</w:t>
      </w:r>
      <w:r>
        <w:br/>
      </w:r>
      <w:r>
        <w:rPr>
          <w:rStyle w:val="VerbatimChar"/>
        </w:rPr>
        <w:t xml:space="preserve">## | Prophylaxis  |     16.57      |       6444970        |    1244236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base case vs. German utilities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Scenario QALYs | Scenario total costs | Scenario INMB |</w:t>
      </w:r>
      <w:r>
        <w:br/>
      </w:r>
      <w:r>
        <w:rPr>
          <w:rStyle w:val="VerbatimChar"/>
        </w:rPr>
        <w:t xml:space="preserve">## |:--------------:|:--------------------:|:-------------:|</w:t>
      </w:r>
      <w:r>
        <w:br/>
      </w:r>
      <w:r>
        <w:rPr>
          <w:rStyle w:val="VerbatimChar"/>
        </w:rPr>
        <w:t xml:space="preserve">## |     17.76      |       5199922        |       0       |</w:t>
      </w:r>
      <w:r>
        <w:br/>
      </w:r>
      <w:r>
        <w:rPr>
          <w:rStyle w:val="VerbatimChar"/>
        </w:rPr>
        <w:t xml:space="preserve">## |     17.12      |       6444970        |    1276944    |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Scenario               | Incremental QALYs |</w:t>
      </w:r>
      <w:r>
        <w:br/>
      </w:r>
      <w:r>
        <w:rPr>
          <w:rStyle w:val="VerbatimChar"/>
        </w:rPr>
        <w:t xml:space="preserve">## |:-----------------------------------:|:-----------------:|</w:t>
      </w:r>
      <w:r>
        <w:br/>
      </w:r>
      <w:r>
        <w:rPr>
          <w:rStyle w:val="VerbatimChar"/>
        </w:rPr>
        <w:t xml:space="preserve">## |              Base case              |      0.6019       |</w:t>
      </w:r>
      <w:r>
        <w:br/>
      </w:r>
      <w:r>
        <w:rPr>
          <w:rStyle w:val="VerbatimChar"/>
        </w:rPr>
        <w:t xml:space="preserve">## | Scenario 1: 7 day bleed disutility  |      0.6979       |</w:t>
      </w:r>
      <w:r>
        <w:br/>
      </w:r>
      <w:r>
        <w:rPr>
          <w:rStyle w:val="VerbatimChar"/>
        </w:rPr>
        <w:t xml:space="preserve">## | Scenario 2: 5x costs per day in ICU |      0.6004       |</w:t>
      </w:r>
      <w:r>
        <w:br/>
      </w:r>
      <w:r>
        <w:rPr>
          <w:rStyle w:val="VerbatimChar"/>
        </w:rPr>
        <w:t xml:space="preserve">## | Scenario 3: No treatment switching  |      -2.103       |</w:t>
      </w:r>
      <w:r>
        <w:br/>
      </w:r>
      <w:r>
        <w:rPr>
          <w:rStyle w:val="VerbatimChar"/>
        </w:rPr>
        <w:t xml:space="preserve">## |     Scenario 4: No vial sharing     |      0.6024       |</w:t>
      </w:r>
      <w:r>
        <w:br/>
      </w:r>
      <w:r>
        <w:rPr>
          <w:rStyle w:val="VerbatimChar"/>
        </w:rPr>
        <w:t xml:space="preserve">## |    Scenario 5: Cost-minimization    |      0.6019       |</w:t>
      </w:r>
      <w:r>
        <w:br/>
      </w:r>
      <w:r>
        <w:rPr>
          <w:rStyle w:val="VerbatimChar"/>
        </w:rPr>
        <w:t xml:space="preserve">## |         Scenario 6: Age 18          |      0.3248       |</w:t>
      </w:r>
      <w:r>
        <w:br/>
      </w:r>
      <w:r>
        <w:rPr>
          <w:rStyle w:val="VerbatimChar"/>
        </w:rPr>
        <w:t xml:space="preserve">## |         Scenario 7: Age 60          |       1.065       |</w:t>
      </w:r>
      <w:r>
        <w:br/>
      </w:r>
      <w:r>
        <w:rPr>
          <w:rStyle w:val="VerbatimChar"/>
        </w:rPr>
        <w:t xml:space="preserve">## |    Scenario 8: German utilities     |      0.6379 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base case no vial sharing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Incremental Costs [EUR] | INMB [EUR] |</w:t>
      </w:r>
      <w:r>
        <w:br/>
      </w:r>
      <w:r>
        <w:rPr>
          <w:rStyle w:val="VerbatimChar"/>
        </w:rPr>
        <w:t xml:space="preserve">## |:-----------------------:|:----------:|</w:t>
      </w:r>
      <w:r>
        <w:br/>
      </w:r>
      <w:r>
        <w:rPr>
          <w:rStyle w:val="VerbatimChar"/>
        </w:rPr>
        <w:t xml:space="preserve">## |        -1214141         |  1244236   |</w:t>
      </w:r>
      <w:r>
        <w:br/>
      </w:r>
      <w:r>
        <w:rPr>
          <w:rStyle w:val="VerbatimChar"/>
        </w:rPr>
        <w:t xml:space="preserve">## |        -1213232         |  1248125   |</w:t>
      </w:r>
      <w:r>
        <w:br/>
      </w:r>
      <w:r>
        <w:rPr>
          <w:rStyle w:val="VerbatimChar"/>
        </w:rPr>
        <w:t xml:space="preserve">## |        -1258769         |  1288789   |</w:t>
      </w:r>
      <w:r>
        <w:br/>
      </w:r>
      <w:r>
        <w:rPr>
          <w:rStyle w:val="VerbatimChar"/>
        </w:rPr>
        <w:t xml:space="preserve">## |        -3813721         |  3708556   |</w:t>
      </w:r>
      <w:r>
        <w:br/>
      </w:r>
      <w:r>
        <w:rPr>
          <w:rStyle w:val="VerbatimChar"/>
        </w:rPr>
        <w:t xml:space="preserve">## |        -1407187         |  1437308   |</w:t>
      </w:r>
      <w:r>
        <w:br/>
      </w:r>
      <w:r>
        <w:rPr>
          <w:rStyle w:val="VerbatimChar"/>
        </w:rPr>
        <w:t xml:space="preserve">## |        -1214141         |  1214141   |</w:t>
      </w:r>
      <w:r>
        <w:br/>
      </w:r>
      <w:r>
        <w:rPr>
          <w:rStyle w:val="VerbatimChar"/>
        </w:rPr>
        <w:t xml:space="preserve">## |        -1226645         |  1242885   |</w:t>
      </w:r>
      <w:r>
        <w:br/>
      </w:r>
      <w:r>
        <w:rPr>
          <w:rStyle w:val="VerbatimChar"/>
        </w:rPr>
        <w:t xml:space="preserve">## |         -812716         |   865960   |</w:t>
      </w:r>
      <w:r>
        <w:br/>
      </w:r>
      <w:r>
        <w:rPr>
          <w:rStyle w:val="VerbatimChar"/>
        </w:rPr>
        <w:t xml:space="preserve">## |        -1245048         |  1276944   |</w:t>
      </w:r>
    </w:p>
    <w:bookmarkStart w:id="50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          user effective_user </w:t>
      </w:r>
      <w:r>
        <w:br/>
      </w:r>
      <w:r>
        <w:rPr>
          <w:rStyle w:val="VerbatimChar"/>
        </w:rPr>
        <w:t xml:space="preserve"> "Windows"       "10 x64"  "build 19045"       "M04486"       "x86-64"         "min1"         "min1"         "min1" 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4.3.1 (2023-06-16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19045)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 LC_MONETARY=German_Switzerland.utf8 LC_NUMERIC=C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rmarkdown_2.23 captioner_2.2.3 ggrepel_0.9.3 plyr_1.8.8 ggpubr_0.6.0 truncnorm_1.0-9 lookup_1.0 data.table_1.14.8 pander_0.6.5 RColorBrewer_1.1-3</w:t>
      </w:r>
      <w:r>
        <w:t xml:space="preserve"> </w:t>
      </w:r>
      <w:r>
        <w:t xml:space="preserve">[11] ggplot2_3.4.2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utf8_1.2.3 generics_0.1.3 tidyr_1.3.0 rstatix_0.7.2 digest_0.6.33 magrittr_2.0.3 evaluate_0.21 grid_4.3.1 fastmap_1.1.1 backports_1.4.1</w:t>
      </w:r>
      <w:r>
        <w:br/>
      </w:r>
      <w:r>
        <w:t xml:space="preserve">[11] purrr_1.0.1 fansi_1.0.4 scales_1.2.1 abind_1.4-5 cli_3.6.1 rlang_1.1.1 munsell_0.5.0 withr_2.5.0 yaml_2.3.7 tools_4.3.1</w:t>
      </w:r>
      <w:r>
        <w:br/>
      </w:r>
      <w:r>
        <w:t xml:space="preserve">[21] ggsignif_0.6.4 dplyr_1.1.2 colorspace_2.1-0 broom_1.0.5 vctrs_0.6.3 R6_2.5.1 lifecycle_1.0.3 car_3.1-2 pkgconfig_2.0.3 pillar_1.9.0</w:t>
      </w:r>
      <w:r>
        <w:br/>
      </w:r>
      <w:r>
        <w:t xml:space="preserve">[31] gtable_0.3.3 glue_1.6.2 Rcpp_1.0.11 xfun_0.39 tibble_3.2.1 tidyselect_1.2.0 highr_0.10 rstudioapi_0.15.0 knitr_1.43 farver_2.1.1</w:t>
      </w:r>
      <w:r>
        <w:br/>
      </w:r>
      <w:r>
        <w:t xml:space="preserve">[41] htmltools_0.5.5 carData_3.0-5 labeling_0.4.2 compiler_4.3.1</w:t>
      </w:r>
    </w:p>
    <w:bookmarkEnd w:id="50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model scenarios</dc:title>
  <dc:creator>Niklaus Meier</dc:creator>
  <cp:keywords/>
  <dcterms:created xsi:type="dcterms:W3CDTF">2023-08-02T13:04:10Z</dcterms:created>
  <dcterms:modified xsi:type="dcterms:W3CDTF">2023-08-02T13:04:10Z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02,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