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Iepirkumu saraksta sadales optimizācija starp interneta veikaliem ar Simulated Annealing algoritmu</w:t>
      </w:r>
    </w:p>
    <w:p>
      <w:r>
        <w:t>Python realizācija un eksperimentu rezultāti</w:t>
      </w:r>
    </w:p>
    <w:p>
      <w:pPr>
        <w:pStyle w:val="Heading1"/>
      </w:pPr>
      <w:r>
        <w:t>1 Uzdevuma formulējums</w:t>
      </w:r>
    </w:p>
    <w:p>
      <w:r>
        <w:t>Darba mērķis ir izvēlēties veikalu katrai iepirkumu saraksta precei, minimizējot preču un piegādes kopējās izmaksas. Izveidota Simulated Annealing (SA) algoritma realizācija Python vidē bez gatavām optimizācijas bibliotēkām. Risinājums pārbaudīts astoņos dažāda izmēra scenārijos; mazos piemēros kvalitāti nosaka salīdzinājums ar pilnās pārlases optimumu.</w:t>
      </w:r>
    </w:p>
    <w:p>
      <w:r>
        <w:t>Doti n preču veidi un m veikali. Katrai precei zināms nepieciešamais daudzums qᵢ un vienības cena pᵢⱼ veikalā j. Neesoša cena nozīmē, ka prece šajā veikalā nav pieejama. Katram veikalam ir piegādes maksa dⱼ un iespējams bezmaksas piegādes slieksnis hⱼ. Salīdzina identiskas preces ar vienādu preces kodu; testos izmantotas fiksētas sintētiskas cenu tabulas, nevis reālu veikalu aktuālie piedāvājumi.</w:t>
      </w:r>
    </w:p>
    <w:p>
      <w:r>
        <w:t>Katras preces visu daudzumu iegādājas vienā veikalā; sadalīšana vairākos pasūtījumos nav atļauta. Piegādes maksu piemēro vienreiz katram izmantotajam veikalam. Sasniedzot slieksni vai to pārsniedzot, piegāde ir bez maksas. Ja veikalu neizmanto, tam izmaksu nav. Modelī nav kuponu, minimālā pasūtījuma ierobežojumu vai papildu preču pirkšanas sliekšņa sasniegšanai.</w:t>
      </w:r>
    </w:p>
    <w:p>
      <w:pPr>
        <w:pStyle w:val="Heading1"/>
      </w:pPr>
      <w:r>
        <w:t>2 Algoritma apraksts</w:t>
      </w:r>
    </w:p>
    <w:p>
      <w:pPr>
        <w:pStyle w:val="Heading2"/>
      </w:pPr>
      <w:r>
        <w:t>a Domēns</w:t>
      </w:r>
    </w:p>
    <w:p>
      <w:r>
        <w:t>Risinājums ir vektors x = (x₁, …, xₙ), kur xᵢ ir precei i izvēlētā veikala indekss. Atļauti tikai veikali, kuros prece pieejama. Ja Aᵢ ir šo veikalu kopa, iespējamo risinājumu skaits ir visu |Aᵢ| vērtību reizinājums un nepārsniedz mⁿ. Katrai precei jābūt pieejamai vismaz vienā veikalā; pretējā gadījumā ievades dati tiek noraidīti.</w:t>
      </w:r>
    </w:p>
    <w:p>
      <w:pPr>
        <w:pStyle w:val="Heading2"/>
      </w:pPr>
      <w:r>
        <w:t>b Novērtēšana</w:t>
      </w:r>
    </w:p>
    <w:p>
      <w:pPr>
        <w:spacing w:after="120"/>
        <w:jc w:val="center"/>
      </w:pPr>
      <m:oMath>
        <m:r>
          <m:t>f(x) = </m:t>
        </m:r>
        <m:nary>
          <m:naryPr>
            <m:chr m:val="∑"/>
          </m:naryPr>
          <m:sub>
            <m:r>
              <m:t>i=1</m:t>
            </m:r>
          </m:sub>
          <m:sup>
            <m:r>
              <m:t>n</m:t>
            </m:r>
          </m:sup>
          <m:e>
            <m:sSub>
              <m:e>
                <m:r>
                  <m:t>q</m:t>
                </m:r>
              </m:e>
              <m:sub>
                <m:r>
                  <m:t>i</m:t>
                </m:r>
              </m:sub>
            </m:sSub>
            <m:sSub>
              <m:e>
                <m:r>
                  <m:t>p</m:t>
                </m:r>
              </m:e>
              <m:sub>
                <m:r>
                  <m:t>i,xᵢ</m:t>
                </m:r>
              </m:sub>
            </m:sSub>
          </m:e>
        </m:nary>
        <m:r>
          <m:t> + </m:t>
        </m:r>
        <m:nary>
          <m:naryPr>
            <m:chr m:val="∑"/>
          </m:naryPr>
          <m:sub>
            <m:r>
              <m:t>j=1</m:t>
            </m:r>
          </m:sub>
          <m:sup>
            <m:r>
              <m:t>m</m:t>
            </m:r>
          </m:sup>
          <m:e>
            <m:sSub>
              <m:e>
                <m:r>
                  <m:t>D</m:t>
                </m:r>
              </m:e>
              <m:sub>
                <m:r>
                  <m:t>j</m:t>
                </m:r>
              </m:sub>
            </m:sSub>
            <m:r>
              <m:t>(x)</m:t>
            </m:r>
          </m:e>
        </m:nary>
      </m:oMath>
    </w:p>
    <w:p>
      <w:r>
        <w:t>Dⱼ(x) ir veikala piegādes izmaksas: 0, ja tajā nav preču vai to starpsumma sasniedz hⱼ, un dⱼ pārējos gadījumos. Ja sliekšņa nav, katrs izmantotais veikals iekasē dⱼ. Visas cenas, sliekšņus un mērķfunkciju glabā veselos eiro centos, tādēļ naudas aprēķinos nav peldošā punkta noapaļošanas kļūdu.</w:t>
      </w:r>
    </w:p>
    <w:p>
      <w:r>
        <w:t>Lētākā veikala izvēle katrai precei atsevišķi negarantē lētāko grozu. Piemēram, precēm ar cenām (4,00; 5,00) un (5,00; 4,00) EUR, piegādi 5,00 EUR un slieksni 9,00 EUR katrā veikalā atsevišķi lētāko preču grozs maksā 18,00 EUR. Abu preču iegāde vienā veikalā maksā 9,00 EUR.</w:t>
      </w:r>
    </w:p>
    <w:p>
      <w:r>
        <w:br w:type="page"/>
      </w:r>
    </w:p>
    <w:p>
      <w:pPr>
        <w:pStyle w:val="Heading2"/>
      </w:pPr>
      <w:r>
        <w:t>c Gājiens</w:t>
      </w:r>
    </w:p>
    <w:p>
      <w:r>
        <w:t>Ar varbūtību 0,75 izvēlas vienu pārvietojamu preci, bet ar varbūtību 0,25 izvēlas divas atšķirīgas pārvietojamas preces. Katru pārceļ uz nejaušu citu veikalu, kurā tā pieejama. Preces ar vienu pieejamu veikalu nepārvieto. Ja pārvietojama tikai viena prece, vienmēr lieto viena elementa gājienu. Priekšlikumi ir simetriski, jo preču izvēles kopa ir nemainīga un katram elementam vienāds iespējamo alternatīvu skaits abos virzienos.</w:t>
      </w:r>
    </w:p>
    <w:p>
      <w:r>
        <w:t>Pārrēķina tikai skarto veikalu starpsummas un piegādes maksas. Divu preču gājiens palīdz vienlaikus mainīt pasūtījumu sadalījumu, piemēram, sasniegt bezmaksas piegādes slieksni. Ar viena elementa gājieniem iespējams sasniegt jebkuru atļauto sadalījumu.</w:t>
      </w:r>
    </w:p>
    <w:p>
      <w:pPr>
        <w:pStyle w:val="Heading2"/>
      </w:pPr>
      <w:r>
        <w:t>d Algoritms</w:t>
      </w:r>
    </w:p>
    <w:p>
      <w:r>
        <w:t>Sākuma risinājumā katrai precei izvēlas lētāko pieejamo veikalu; vienādu cenu gadījumā izvēlas pirmo. Katram gājienam aprēķina izmaksu izmaiņu Δ = f(jaunais) − f(pašreizējais). Ja Δ ≤ 0, gājienu pieņem. Dārgāku risinājumu pieņem ar varbūtību exp(−Δ/T), salīdzinot to ar vienmērīgu nejaušu skaitli intervālā [0; 1). Tādējādi iespējams izkļūt no lokāla minimuma.</w:t>
      </w:r>
    </w:p>
    <w:p>
      <w:r>
        <w:t>Izmanto ģeometrisku dzesēšanu no T₀ = 2000 centiem līdz Tbeigu = 1 centam un K = 20 000 iterāciju. Iterācijā k temperatūru nosaka šādi; kodā ekvivalentu formulu aprēķina ar logaritmu interpolāciju. Temperatūrai ir tā pati mērvienība kā Δ.</w:t>
      </w:r>
    </w:p>
    <w:p>
      <w:pPr>
        <w:spacing w:after="120"/>
        <w:jc w:val="center"/>
      </w:pPr>
      <m:oMath>
        <m:r>
          <m:t>T(k) = </m:t>
        </m:r>
        <m:sSub>
          <m:e>
            <m:r>
              <m:t>T</m:t>
            </m:r>
          </m:e>
          <m:sub>
            <m:r>
              <m:t>0</m:t>
            </m:r>
          </m:sub>
        </m:sSub>
        <m:r>
          <m:t> · </m:t>
        </m:r>
        <m:sSup>
          <m:e>
            <m:r>
              <m:t>(</m:t>
            </m:r>
            <m:f>
              <m:num>
                <m:sSub>
                  <m:e>
                    <m:r>
                      <m:t>T</m:t>
                    </m:r>
                  </m:e>
                  <m:sub>
                    <m:r>
                      <m:t>beigu</m:t>
                    </m:r>
                  </m:sub>
                </m:sSub>
              </m:num>
              <m:den>
                <m:sSub>
                  <m:e>
                    <m:r>
                      <m:t>T</m:t>
                    </m:r>
                  </m:e>
                  <m:sub>
                    <m:r>
                      <m:t>0</m:t>
                    </m:r>
                  </m:sub>
                </m:sSub>
              </m:den>
            </m:f>
            <m:r>
              <m:t>)</m:t>
            </m:r>
          </m:e>
          <m:sup>
            <m:f>
              <m:num>
                <m:r>
                  <m:t>k</m:t>
                </m:r>
              </m:num>
              <m:den>
                <m:r>
                  <m:t>K−1</m:t>
                </m:r>
              </m:den>
            </m:f>
          </m:sup>
        </m:sSup>
        <m:r>
          <m:t> ,   k = 0, …, K−1</m:t>
        </m:r>
      </m:oMath>
    </w:p>
    <w:p>
      <w:pPr>
        <w:spacing w:after="40"/>
      </w:pPr>
      <w:r>
        <w:t>1. Izveido sākuma sadalījumu un saglabā to kā labāko.</w:t>
      </w:r>
    </w:p>
    <w:p>
      <w:pPr>
        <w:spacing w:after="40"/>
      </w:pPr>
      <w:r>
        <w:t>2. Katrā iterācijā aprēķina temperatūru un ģenerē gājienu.</w:t>
      </w:r>
    </w:p>
    <w:p>
      <w:pPr>
        <w:spacing w:after="40"/>
      </w:pPr>
      <w:r>
        <w:t>3. Aprēķina Δ un pēc SA pieņemšanas nosacījuma atjaunina pašreizējo sadalījumu.</w:t>
      </w:r>
    </w:p>
    <w:p>
      <w:pPr>
        <w:spacing w:after="40"/>
      </w:pPr>
      <w:r>
        <w:t>4. Ja pieņemtais risinājums ir labāks par līdz šim labāko, saglabā to.</w:t>
      </w:r>
    </w:p>
    <w:p>
      <w:pPr>
        <w:spacing w:after="40"/>
      </w:pPr>
      <w:r>
        <w:t>5. Pēc K iterācijām atgriež labāko redzēto risinājumu, ieskaitot sākuma risinājumu.</w:t>
      </w:r>
    </w:p>
    <w:p>
      <w:r>
        <w:t>Vienam gājienam alternatīva veikala izvēle prasa O(m), izmaksu izmaiņas aprēķins skar ne vairāk par četriem veikaliem, bet jauna labākā vektora kopēšana prasa O(n). Kopējā sliktākā laika sarežģītība ir O(nm + K(m+n)), atmiņa O(nm). Galīgs SA palaidiens globālo optimumu negarantē.</w:t>
      </w:r>
    </w:p>
    <w:p>
      <w:pPr>
        <w:pStyle w:val="Heading1"/>
      </w:pPr>
      <w:r>
        <w:t>3 Testēšanas apraksts</w:t>
      </w:r>
    </w:p>
    <w:p>
      <w:r>
        <w:t>Sagatavoti 8 piemēri ar 6, 8, 10, 12, 20, 40, 80 un 120 precēm un 3–10 veikaliem. Scenārijos mainās pieejamība, daudzumi, piegādes maksa un sliekšņi; ir arī veikali bez bezmaksas piegādes. Katrā piemērā veikti 20 palaidieni ar nejaušības sēklām 0–19 un vienādiem SA parametriem. Bāzes risinājums izvēlas lētākās preces un tā kopvērtējumā ieskaita piegādi.</w:t>
      </w:r>
    </w:p>
    <w:p>
      <w:r>
        <w:t>Četriem mazākajiem piemēriem paša realizēta pilnā pārlase pārbauda visus atļautos sadalījumus. Lielajiem piemēriem etalons ir minimums no bāzes, 20 pamata palaidieniem un 10 papildu palaidieniem ar 100 000 iterācijām un sēklām 1000–1009. Papildu palaidieni pamīšus sākas ar lētāko un nejaušu atļautu sadalījumu. Šis etalons ir labākais eksperimentā atrastais risinājums, kura optimalitāte nav pierādīta, ja tas nesakrīt ar zemāko robežu - lētāko preču summu bez piegādes.</w:t>
      </w:r>
    </w:p>
    <w:p>
      <w:r>
        <w:br w:type="page"/>
      </w:r>
    </w:p>
    <w:p>
      <w:pPr>
        <w:pStyle w:val="Heading2"/>
      </w:pPr>
      <w:r>
        <w:t>Testēšanas rezultāti</w:t>
      </w:r>
    </w:p>
    <w:p>
      <w:r>
        <w:t>Palaidieni izpildīti secīgi ar CPython 3.13.2 Windows vidē. Laiks mērīts ar time.perf_counter no SA inicializācijas līdz meklēšanas beigām; tas neietver failu lasīšanu, pilno pārlasi vai etalona veidošanu. Aparatūra: Intel64 Family 6 Model 170 Stepping 4, GenuineIntel; 14 loģiskie procesori. Laiki raksturo šo datoru un tā noslodzi mērīšanas laikā.</w:t>
      </w:r>
    </w:p>
    <w:p>
      <w:r>
        <w:t>Tabulā norādītas summas eiro un 20 palaidienu vidējais laiks milisekundēs. Novirze ir 100 · (SA summa − etalons) / etalons. O apzīmē pierādītu optimumu, A - labāko atrasto etalonu; trāpījumi rāda, cik palaidienos sasniegts etalons.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3"/>
        <w:gridCol w:w="1233"/>
        <w:gridCol w:w="1233"/>
        <w:gridCol w:w="1233"/>
        <w:gridCol w:w="1233"/>
        <w:gridCol w:w="1233"/>
        <w:gridCol w:w="1233"/>
        <w:gridCol w:w="1233"/>
      </w:tblGrid>
      <w:tr>
        <w:trPr>
          <w:cantSplit/>
          <w:tblHeader/>
        </w:trPr>
        <w:tc>
          <w:tcPr>
            <w:tcW w:type="dxa" w:w="907"/>
            <w:vAlign w:val="center"/>
            <w:shd w:fill="E8EDF2"/>
            <w:tcMar>
              <w:top w:w="65" w:type="dxa"/>
              <w:bottom w:w="65" w:type="dxa"/>
              <w:left w:w="65" w:type="dxa"/>
              <w:right w:w="65" w:type="dxa"/>
            </w:tcMar>
          </w:tcPr>
          <w:p>
            <w:pPr>
              <w:spacing w:after="0" w:line="240" w:lineRule="auto"/>
              <w:jc w:val="center"/>
            </w:pPr>
            <w:r>
              <w:rPr>
                <w:b/>
                <w:sz w:val="18"/>
              </w:rPr>
              <w:t>Preces ×</w:t>
              <w:br/>
              <w:t>veikali</w:t>
            </w:r>
          </w:p>
        </w:tc>
        <w:tc>
          <w:tcPr>
            <w:tcW w:type="dxa" w:w="1134"/>
            <w:vAlign w:val="center"/>
            <w:shd w:fill="E8EDF2"/>
            <w:tcMar>
              <w:top w:w="65" w:type="dxa"/>
              <w:bottom w:w="65" w:type="dxa"/>
              <w:left w:w="65" w:type="dxa"/>
              <w:right w:w="65" w:type="dxa"/>
            </w:tcMar>
          </w:tcPr>
          <w:p>
            <w:pPr>
              <w:spacing w:after="0" w:line="240" w:lineRule="auto"/>
              <w:jc w:val="center"/>
            </w:pPr>
            <w:r>
              <w:rPr>
                <w:b/>
                <w:sz w:val="18"/>
              </w:rPr>
              <w:t>Bāze</w:t>
              <w:br/>
              <w:t>EUR</w:t>
            </w:r>
          </w:p>
        </w:tc>
        <w:tc>
          <w:tcPr>
            <w:tcW w:type="dxa" w:w="1191"/>
            <w:vAlign w:val="center"/>
            <w:shd w:fill="E8EDF2"/>
            <w:tcMar>
              <w:top w:w="65" w:type="dxa"/>
              <w:bottom w:w="65" w:type="dxa"/>
              <w:left w:w="65" w:type="dxa"/>
              <w:right w:w="65" w:type="dxa"/>
            </w:tcMar>
          </w:tcPr>
          <w:p>
            <w:pPr>
              <w:spacing w:after="0" w:line="240" w:lineRule="auto"/>
              <w:jc w:val="center"/>
            </w:pPr>
            <w:r>
              <w:rPr>
                <w:b/>
                <w:sz w:val="18"/>
              </w:rPr>
              <w:t>Etalons</w:t>
              <w:br/>
              <w:t>EUR</w:t>
            </w:r>
          </w:p>
        </w:tc>
        <w:tc>
          <w:tcPr>
            <w:tcW w:type="dxa" w:w="1162"/>
            <w:vAlign w:val="center"/>
            <w:shd w:fill="E8EDF2"/>
            <w:tcMar>
              <w:top w:w="65" w:type="dxa"/>
              <w:bottom w:w="65" w:type="dxa"/>
              <w:left w:w="65" w:type="dxa"/>
              <w:right w:w="65" w:type="dxa"/>
            </w:tcMar>
          </w:tcPr>
          <w:p>
            <w:pPr>
              <w:spacing w:after="0" w:line="240" w:lineRule="auto"/>
              <w:jc w:val="center"/>
            </w:pPr>
            <w:r>
              <w:rPr>
                <w:b/>
                <w:sz w:val="18"/>
              </w:rPr>
              <w:t>SA lab.</w:t>
              <w:br/>
              <w:t>EUR</w:t>
            </w:r>
          </w:p>
        </w:tc>
        <w:tc>
          <w:tcPr>
            <w:tcW w:type="dxa" w:w="1162"/>
            <w:vAlign w:val="center"/>
            <w:shd w:fill="E8EDF2"/>
            <w:tcMar>
              <w:top w:w="65" w:type="dxa"/>
              <w:bottom w:w="65" w:type="dxa"/>
              <w:left w:w="65" w:type="dxa"/>
              <w:right w:w="65" w:type="dxa"/>
            </w:tcMar>
          </w:tcPr>
          <w:p>
            <w:pPr>
              <w:spacing w:after="0" w:line="240" w:lineRule="auto"/>
              <w:jc w:val="center"/>
            </w:pPr>
            <w:r>
              <w:rPr>
                <w:b/>
                <w:sz w:val="18"/>
              </w:rPr>
              <w:t>SA vid.</w:t>
              <w:br/>
              <w:t>EUR</w:t>
            </w:r>
          </w:p>
        </w:tc>
        <w:tc>
          <w:tcPr>
            <w:tcW w:type="dxa" w:w="1134"/>
            <w:vAlign w:val="center"/>
            <w:shd w:fill="E8EDF2"/>
            <w:tcMar>
              <w:top w:w="65" w:type="dxa"/>
              <w:bottom w:w="65" w:type="dxa"/>
              <w:left w:w="65" w:type="dxa"/>
              <w:right w:w="65" w:type="dxa"/>
            </w:tcMar>
          </w:tcPr>
          <w:p>
            <w:pPr>
              <w:spacing w:after="0" w:line="240" w:lineRule="auto"/>
              <w:jc w:val="center"/>
            </w:pPr>
            <w:r>
              <w:rPr>
                <w:b/>
                <w:sz w:val="18"/>
              </w:rPr>
              <w:t>Vid. nov.</w:t>
              <w:br/>
              <w:t>%</w:t>
            </w:r>
          </w:p>
        </w:tc>
        <w:tc>
          <w:tcPr>
            <w:tcW w:type="dxa" w:w="1049"/>
            <w:vAlign w:val="center"/>
            <w:shd w:fill="E8EDF2"/>
            <w:tcMar>
              <w:top w:w="65" w:type="dxa"/>
              <w:bottom w:w="65" w:type="dxa"/>
              <w:left w:w="65" w:type="dxa"/>
              <w:right w:w="65" w:type="dxa"/>
            </w:tcMar>
          </w:tcPr>
          <w:p>
            <w:pPr>
              <w:spacing w:after="0" w:line="240" w:lineRule="auto"/>
              <w:jc w:val="center"/>
            </w:pPr>
            <w:r>
              <w:rPr>
                <w:b/>
                <w:sz w:val="18"/>
              </w:rPr>
              <w:t>Vid. laiks</w:t>
              <w:br/>
              <w:t>ms</w:t>
            </w:r>
          </w:p>
        </w:tc>
        <w:tc>
          <w:tcPr>
            <w:tcW w:type="dxa" w:w="935"/>
            <w:vAlign w:val="center"/>
            <w:shd w:fill="E8EDF2"/>
            <w:tcMar>
              <w:top w:w="65" w:type="dxa"/>
              <w:bottom w:w="65" w:type="dxa"/>
              <w:left w:w="65" w:type="dxa"/>
              <w:right w:w="65" w:type="dxa"/>
            </w:tcMar>
          </w:tcPr>
          <w:p>
            <w:pPr>
              <w:spacing w:after="0" w:line="240" w:lineRule="auto"/>
              <w:jc w:val="center"/>
            </w:pPr>
            <w:r>
              <w:rPr>
                <w:b/>
                <w:sz w:val="18"/>
              </w:rPr>
              <w:t>Trāp.</w:t>
              <w:br/>
              <w:t>no 20</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6 × 3</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50,29</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36,87 O</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36,87</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36,87</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0,000</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139,00</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20</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8 × 4</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71,77</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67,12 O</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67,12</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67,12</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0,000</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134,63</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20</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10 × 4</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97,07</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75,56 O</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75,56</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75,58</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0,030</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143,56</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19</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12 × 3</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139,12</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132,19 O</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132,19</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132,19</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0,001</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145,67</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19</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20 × 5</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238,37</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221,09 A</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221,09</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221,21</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0,053</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116,68</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15</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40 × 6</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365,56</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359,02 A</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359,02</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359,80</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0,217</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140,74</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2</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80 × 8</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636,62</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631,53 A</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631,53</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636,37</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0,766</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191,89</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1</w:t>
            </w:r>
          </w:p>
        </w:tc>
      </w:tr>
      <w:tr>
        <w:trPr>
          <w:cantSplit/>
        </w:trPr>
        <w:tc>
          <w:tcPr>
            <w:tcW w:type="dxa" w:w="907"/>
            <w:vAlign w:val="center"/>
            <w:shd w:fill="FFFFFF"/>
            <w:tcMar>
              <w:top w:w="65" w:type="dxa"/>
              <w:bottom w:w="65" w:type="dxa"/>
              <w:left w:w="65" w:type="dxa"/>
              <w:right w:w="65" w:type="dxa"/>
            </w:tcMar>
          </w:tcPr>
          <w:p>
            <w:pPr>
              <w:spacing w:after="0" w:line="240" w:lineRule="auto"/>
              <w:jc w:val="center"/>
            </w:pPr>
            <w:r>
              <w:rPr>
                <w:b w:val="0"/>
                <w:sz w:val="18"/>
              </w:rPr>
              <w:t>120 × 10</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927,77</w:t>
            </w:r>
          </w:p>
        </w:tc>
        <w:tc>
          <w:tcPr>
            <w:tcW w:type="dxa" w:w="1191"/>
            <w:vAlign w:val="center"/>
            <w:shd w:fill="FFFFFF"/>
            <w:tcMar>
              <w:top w:w="65" w:type="dxa"/>
              <w:bottom w:w="65" w:type="dxa"/>
              <w:left w:w="65" w:type="dxa"/>
              <w:right w:w="65" w:type="dxa"/>
            </w:tcMar>
          </w:tcPr>
          <w:p>
            <w:pPr>
              <w:spacing w:after="0" w:line="240" w:lineRule="auto"/>
              <w:jc w:val="center"/>
            </w:pPr>
            <w:r>
              <w:rPr>
                <w:b w:val="0"/>
                <w:sz w:val="18"/>
              </w:rPr>
              <w:t>908,16 A</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909,08</w:t>
            </w:r>
          </w:p>
        </w:tc>
        <w:tc>
          <w:tcPr>
            <w:tcW w:type="dxa" w:w="1162"/>
            <w:vAlign w:val="center"/>
            <w:shd w:fill="FFFFFF"/>
            <w:tcMar>
              <w:top w:w="65" w:type="dxa"/>
              <w:bottom w:w="65" w:type="dxa"/>
              <w:left w:w="65" w:type="dxa"/>
              <w:right w:w="65" w:type="dxa"/>
            </w:tcMar>
          </w:tcPr>
          <w:p>
            <w:pPr>
              <w:spacing w:after="0" w:line="240" w:lineRule="auto"/>
              <w:jc w:val="center"/>
            </w:pPr>
            <w:r>
              <w:rPr>
                <w:b w:val="0"/>
                <w:sz w:val="18"/>
              </w:rPr>
              <w:t>910,68</w:t>
            </w:r>
          </w:p>
        </w:tc>
        <w:tc>
          <w:tcPr>
            <w:tcW w:type="dxa" w:w="1134"/>
            <w:vAlign w:val="center"/>
            <w:shd w:fill="FFFFFF"/>
            <w:tcMar>
              <w:top w:w="65" w:type="dxa"/>
              <w:bottom w:w="65" w:type="dxa"/>
              <w:left w:w="65" w:type="dxa"/>
              <w:right w:w="65" w:type="dxa"/>
            </w:tcMar>
          </w:tcPr>
          <w:p>
            <w:pPr>
              <w:spacing w:after="0" w:line="240" w:lineRule="auto"/>
              <w:jc w:val="center"/>
            </w:pPr>
            <w:r>
              <w:rPr>
                <w:b w:val="0"/>
                <w:sz w:val="18"/>
              </w:rPr>
              <w:t>0,277</w:t>
            </w:r>
          </w:p>
        </w:tc>
        <w:tc>
          <w:tcPr>
            <w:tcW w:type="dxa" w:w="1049"/>
            <w:vAlign w:val="center"/>
            <w:shd w:fill="FFFFFF"/>
            <w:tcMar>
              <w:top w:w="65" w:type="dxa"/>
              <w:bottom w:w="65" w:type="dxa"/>
              <w:left w:w="65" w:type="dxa"/>
              <w:right w:w="65" w:type="dxa"/>
            </w:tcMar>
          </w:tcPr>
          <w:p>
            <w:pPr>
              <w:spacing w:after="0" w:line="240" w:lineRule="auto"/>
              <w:jc w:val="center"/>
            </w:pPr>
            <w:r>
              <w:rPr>
                <w:b w:val="0"/>
                <w:sz w:val="18"/>
              </w:rPr>
              <w:t>212,60</w:t>
            </w:r>
          </w:p>
        </w:tc>
        <w:tc>
          <w:tcPr>
            <w:tcW w:type="dxa" w:w="935"/>
            <w:vAlign w:val="center"/>
            <w:shd w:fill="FFFFFF"/>
            <w:tcMar>
              <w:top w:w="65" w:type="dxa"/>
              <w:bottom w:w="65" w:type="dxa"/>
              <w:left w:w="65" w:type="dxa"/>
              <w:right w:w="65" w:type="dxa"/>
            </w:tcMar>
          </w:tcPr>
          <w:p>
            <w:pPr>
              <w:spacing w:after="0" w:line="240" w:lineRule="auto"/>
              <w:jc w:val="center"/>
            </w:pPr>
            <w:r>
              <w:rPr>
                <w:b w:val="0"/>
                <w:sz w:val="18"/>
              </w:rPr>
              <w:t>0</w:t>
            </w:r>
          </w:p>
        </w:tc>
      </w:tr>
    </w:tbl>
    <w:p/>
    <w:p>
      <w:r>
        <w:t>Pilnā pārlase pārbaudīja šādu sadalījumu skaitu: 6 precēm 486, 8 precēm 2 592, 10 precēm 69 984, 12 precēm 15 552. Mazajos piemēros SA sasniedza optimumu 78 no 80 palaidieniem. Lielākajā piemērā labākā SA summa bija par 18,69 EUR mazāka nekā bāzes grozam. Lielākā viena palaidiena novirze visā eksperimentā bija 0,983 %. Pilnie individuālie rezultāti, izmaksu standartnovirzes un izpildes laiki saglabāti CSV failos.</w:t>
      </w:r>
    </w:p>
    <w:p>
      <w:r>
        <w:t>Vienību testi pārbauda piegādes sliekšņa precīzu sasniegšanu, neizmantotu veikalu, nepieejamu preci, daudzumus un kļūdainu ievadi. Pilnā pārlase salīdzināta ar neatkarīgu itertools pārlasi mazos nejaušos piemēros. SA rezultātiem atkārtoti pārbauda izmaksas, atļautību un reproducējamību; labākā saglabātā summa nedrīkst pārsniegt sākuma summu.</w:t>
      </w:r>
    </w:p>
    <w:p>
      <w:r>
        <w:t>Šajos mērījumos pilnā pārlase maziem piemēriem bija ātrāka nekā vidējais SA palaidiens. Lielākajā piemērā neviens pamata palaidiens nesasniedza papildu meklēšanā iegūto etalonu. Rezultātu ietekmē sēkla un iterāciju skaits; viens sintētisks piemērs katram izmēram nepamato universālu precizitāti vai ātruma mērogošanos. Lielajiem piemēriem novirze pret atrasto etalonu var nenovērtēt patieso novirzi no optimuma.</w:t>
      </w:r>
    </w:p>
    <w:p>
      <w:pPr>
        <w:pStyle w:val="Heading1"/>
      </w:pPr>
      <w:r>
        <w:t>4 Programmas kods un atkārtošana</w:t>
      </w:r>
    </w:p>
    <w:p>
      <w:r>
        <w:t xml:space="preserve">GitHub repozitorijs: </w:t>
      </w:r>
      <w:hyperlink r:id="rId10">
        <w:r>
          <w:rPr>
            <w:color w:val="000000"/>
            <w:u w:val="single"/>
          </w:rPr>
          <w:t>https://github.com/Niklavs-cmd/shopping-sa</w:t>
        </w:r>
      </w:hyperlink>
    </w:p>
    <w:p>
      <w:r>
        <w:t>Repozitorijā ir shopping_sa/ kods, instances/ cenu tabulas, tests/ pārbaudes, scripts/ eksperimentu rīki un results/ neapstrādātie rezultāti. Palaišana no projekta mapes: python -m unittest discover -s tests -v; eksperiments: python scripts/benchmark.py. Precīzas darbības un ievades formāts aprakstīts README.md. Algoritmam vajadzīgs Python 3.10 vai jaunāks; ārējas optimizācijas pakotnes netiek izmantotas.</w:t>
      </w:r>
    </w:p>
    <w:p>
      <w:r>
        <w:rPr>
          <w:sz w:val="17"/>
        </w:rPr>
        <w:t xml:space="preserve">Avots: Kirkpatrick S., Gelatt C. D., Vecchi M. P. (1983). Optimization by Simulated Annealing. Science, 220(4598), 671–680. </w:t>
      </w:r>
      <w:hyperlink r:id="rId11">
        <w:r>
          <w:rPr>
            <w:color w:val="000000"/>
            <w:u w:val="single"/>
          </w:rPr>
          <w:t>doi:10.1126/science.220.4598.671</w:t>
        </w:r>
      </w:hyperlink>
    </w:p>
    <w:sectPr w:rsidR="00FC693F" w:rsidRPr="0006063C" w:rsidSect="00034616">
      <w:footerReference w:type="default" r:id="rId9"/>
      <w:pgSz w:w="11906" w:h="16838"/>
      <w:pgMar w:top="935" w:right="1020" w:bottom="907"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Lappuse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iklavs-cmd/shopping-sa" TargetMode="External"/><Relationship Id="rId11" Type="http://schemas.openxmlformats.org/officeDocument/2006/relationships/hyperlink" Target="https://doi.org/10.1126/science.220.4598.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Iepirkumu saraksta sadales optimizācija starp interneta veikaliem ar Simulated Annealing algoritmu</dc:title>
  <dc:subject>Optimizācijas algoritma realizācija un eksperimentāla pārbaude</dc:subject>
  <dc:creator>Niklavs-cmd</dc:creator>
  <cp:keywords/>
  <dc:description/>
  <cp:lastModifiedBy/>
  <cp:revision>1</cp:revision>
  <dcterms:created xsi:type="dcterms:W3CDTF">2013-12-23T23:15:00Z</dcterms:created>
  <dcterms:modified xsi:type="dcterms:W3CDTF">2013-12-23T23:15:00Z</dcterms:modified>
  <cp:category/>
</cp:coreProperties>
</file>