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19 April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sequence diagram dan use case scenario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Melakukan perbaikan pada diagram dan tampilan website.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fungsi pembayaran dan saran pada diagram.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+U0fAZI7jHwW+wxNkvMiG92zw==">CgMxLjAyCGguZ2pkZ3hzOAByITFXMHozRnZkX2MzdUtMamsxb0xQRFA1a2dlOVZUTVZzSg==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