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PHANTOM STRATEGY SPECIFICATION</w:t>
      </w:r>
    </w:p>
    <w:p>
      <w:pPr>
        <w:jc w:val="center"/>
      </w:pPr>
      <w:r>
        <w:rPr>
          <w:b/>
        </w:rPr>
        <w:t>Complete Platform Recognition &amp; Implementation Document</w:t>
      </w:r>
    </w:p>
    <w:p>
      <w:pPr>
        <w:jc w:val="center"/>
      </w:pPr>
      <w:r>
        <w:t>Part 1 of 3  |  Sections §0–4  |  Version 1.0</w:t>
      </w:r>
    </w:p>
    <w:p/>
    <w:p>
      <w:pPr>
        <w:pStyle w:val="Heading1"/>
      </w:pPr>
      <w:r>
        <w:t>TABLE OF CONTENTS</w:t>
      </w:r>
    </w:p>
    <w:p>
      <w:r>
        <w:rPr>
          <w:sz w:val="20"/>
        </w:rPr>
        <w:t>§0   Global Standards &amp; Shared Definitions</w:t>
      </w:r>
    </w:p>
    <w:p>
      <w:r>
        <w:rPr>
          <w:sz w:val="20"/>
        </w:rPr>
        <w:t xml:space="preserve">  §0.1  Candle Anatomy Definitions</w:t>
      </w:r>
    </w:p>
    <w:p>
      <w:r>
        <w:rPr>
          <w:sz w:val="20"/>
        </w:rPr>
        <w:t xml:space="preserve">  §0.2  Wick Ratio Formula (Universal)</w:t>
      </w:r>
    </w:p>
    <w:p>
      <w:r>
        <w:rPr>
          <w:sz w:val="20"/>
        </w:rPr>
        <w:t xml:space="preserve">  §0.3  Rejection Candle Standard Definition</w:t>
      </w:r>
    </w:p>
    <w:p>
      <w:r>
        <w:rPr>
          <w:sz w:val="20"/>
        </w:rPr>
        <w:t xml:space="preserve">  §0.4  Confidence Scoring System</w:t>
      </w:r>
    </w:p>
    <w:p>
      <w:r>
        <w:rPr>
          <w:sz w:val="20"/>
        </w:rPr>
        <w:t xml:space="preserve">  §0.5  Timeframe &amp; Minimum Data Rules</w:t>
      </w:r>
    </w:p>
    <w:p>
      <w:r>
        <w:rPr>
          <w:sz w:val="20"/>
        </w:rPr>
        <w:t xml:space="preserve">  §0.6  Regime Hysteresis Rules</w:t>
      </w:r>
    </w:p>
    <w:p>
      <w:r>
        <w:rPr>
          <w:sz w:val="20"/>
        </w:rPr>
        <w:t xml:space="preserve">  §0.7  Volume Interpretation by Instrument</w:t>
      </w:r>
    </w:p>
    <w:p>
      <w:r>
        <w:rPr>
          <w:sz w:val="20"/>
        </w:rPr>
        <w:t xml:space="preserve">  §0.8  Session &amp; Timezone Standards</w:t>
      </w:r>
    </w:p>
    <w:p>
      <w:r>
        <w:rPr>
          <w:sz w:val="20"/>
        </w:rPr>
        <w:t xml:space="preserve">  §0.9  Indicator Caching &amp; Computation Order</w:t>
      </w:r>
    </w:p>
    <w:p>
      <w:r>
        <w:rPr>
          <w:sz w:val="20"/>
        </w:rPr>
        <w:t xml:space="preserve">  §0.10 Fibonacci Reference Leg Rule</w:t>
      </w:r>
    </w:p>
    <w:p>
      <w:r>
        <w:rPr>
          <w:sz w:val="20"/>
        </w:rPr>
        <w:t>§1   REGIME_SWITCH — Market Classifier</w:t>
      </w:r>
    </w:p>
    <w:p>
      <w:r>
        <w:rPr>
          <w:sz w:val="20"/>
        </w:rPr>
        <w:t>§2   TREND_PULLBACK — Strategy Detector</w:t>
      </w:r>
    </w:p>
    <w:p>
      <w:r>
        <w:rPr>
          <w:sz w:val="20"/>
        </w:rPr>
        <w:t>§3   BREAKOUT — Strategy Detector</w:t>
      </w:r>
    </w:p>
    <w:p>
      <w:r>
        <w:rPr>
          <w:sz w:val="20"/>
        </w:rPr>
        <w:t>§4   RANGE_REVERSION — Strategy Detector</w:t>
      </w:r>
    </w:p>
    <w:p>
      <w:r>
        <w:br w:type="page"/>
      </w:r>
    </w:p>
    <w:p>
      <w:pPr>
        <w:pStyle w:val="Heading1"/>
      </w:pPr>
      <w:r>
        <w:t>§0  GLOBAL STANDARDS &amp; SHARED DEFINITIONS</w:t>
      </w:r>
    </w:p>
    <w:p>
      <w:r>
        <w:rPr>
          <w:b w:val="0"/>
          <w:i w:val="0"/>
          <w:sz w:val="20"/>
        </w:rPr>
        <w:t>All rules in this section apply universally across every strategy detector. No strategy may override these definitions. They form the single source of truth for all shared concepts used in this specification.</w:t>
      </w:r>
    </w:p>
    <w:p>
      <w:pPr>
        <w:pStyle w:val="Heading2"/>
      </w:pPr>
      <w:r>
        <w:t>§0.1  Candle Anatomy Definitions</w:t>
      </w:r>
    </w:p>
    <w:p>
      <w:r>
        <w:rPr>
          <w:b w:val="0"/>
          <w:i w:val="0"/>
          <w:sz w:val="20"/>
        </w:rPr>
        <w:t>All strategies use the following standardized candle component definitions: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Formula</w:t>
            </w:r>
          </w:p>
        </w:tc>
      </w:tr>
      <w:tr>
        <w:tc>
          <w:tcPr>
            <w:tcW w:type="dxa" w:w="4320"/>
          </w:tcPr>
          <w:p>
            <w:r>
              <w:t>body</w:t>
            </w:r>
          </w:p>
        </w:tc>
        <w:tc>
          <w:tcPr>
            <w:tcW w:type="dxa" w:w="4320"/>
          </w:tcPr>
          <w:p>
            <w:r>
              <w:t>abs(close − open)</w:t>
            </w:r>
          </w:p>
        </w:tc>
      </w:tr>
      <w:tr>
        <w:tc>
          <w:tcPr>
            <w:tcW w:type="dxa" w:w="4320"/>
          </w:tcPr>
          <w:p>
            <w:r>
              <w:t>upper_wick</w:t>
            </w:r>
          </w:p>
        </w:tc>
        <w:tc>
          <w:tcPr>
            <w:tcW w:type="dxa" w:w="4320"/>
          </w:tcPr>
          <w:p>
            <w:r>
              <w:t>high − max(open, close)</w:t>
            </w:r>
          </w:p>
        </w:tc>
      </w:tr>
      <w:tr>
        <w:tc>
          <w:tcPr>
            <w:tcW w:type="dxa" w:w="4320"/>
          </w:tcPr>
          <w:p>
            <w:r>
              <w:t>lower_wick</w:t>
            </w:r>
          </w:p>
        </w:tc>
        <w:tc>
          <w:tcPr>
            <w:tcW w:type="dxa" w:w="4320"/>
          </w:tcPr>
          <w:p>
            <w:r>
              <w:t>min(open, close) − low</w:t>
            </w:r>
          </w:p>
        </w:tc>
      </w:tr>
      <w:tr>
        <w:tc>
          <w:tcPr>
            <w:tcW w:type="dxa" w:w="4320"/>
          </w:tcPr>
          <w:p>
            <w:r>
              <w:t>total_range</w:t>
            </w:r>
          </w:p>
        </w:tc>
        <w:tc>
          <w:tcPr>
            <w:tcW w:type="dxa" w:w="4320"/>
          </w:tcPr>
          <w:p>
            <w:r>
              <w:t>high − low</w:t>
            </w:r>
          </w:p>
        </w:tc>
      </w:tr>
      <w:tr>
        <w:tc>
          <w:tcPr>
            <w:tcW w:type="dxa" w:w="4320"/>
          </w:tcPr>
          <w:p>
            <w:r>
              <w:t>longer_wick</w:t>
            </w:r>
          </w:p>
        </w:tc>
        <w:tc>
          <w:tcPr>
            <w:tcW w:type="dxa" w:w="4320"/>
          </w:tcPr>
          <w:p>
            <w:r>
              <w:t>max(upper_wick, lower_wick)</w:t>
            </w:r>
          </w:p>
        </w:tc>
      </w:tr>
      <w:tr>
        <w:tc>
          <w:tcPr>
            <w:tcW w:type="dxa" w:w="4320"/>
          </w:tcPr>
          <w:p>
            <w:r>
              <w:t>shorter_wick</w:t>
            </w:r>
          </w:p>
        </w:tc>
        <w:tc>
          <w:tcPr>
            <w:tcW w:type="dxa" w:w="4320"/>
          </w:tcPr>
          <w:p>
            <w:r>
              <w:t>min(upper_wick, lower_wick)</w:t>
            </w:r>
          </w:p>
        </w:tc>
      </w:tr>
      <w:tr>
        <w:tc>
          <w:tcPr>
            <w:tcW w:type="dxa" w:w="4320"/>
          </w:tcPr>
          <w:p>
            <w:r>
              <w:t>bullish candle</w:t>
            </w:r>
          </w:p>
        </w:tc>
        <w:tc>
          <w:tcPr>
            <w:tcW w:type="dxa" w:w="4320"/>
          </w:tcPr>
          <w:p>
            <w:r>
              <w:t>close &gt; open</w:t>
            </w:r>
          </w:p>
        </w:tc>
      </w:tr>
      <w:tr>
        <w:tc>
          <w:tcPr>
            <w:tcW w:type="dxa" w:w="4320"/>
          </w:tcPr>
          <w:p>
            <w:r>
              <w:t>bearish candle</w:t>
            </w:r>
          </w:p>
        </w:tc>
        <w:tc>
          <w:tcPr>
            <w:tcW w:type="dxa" w:w="4320"/>
          </w:tcPr>
          <w:p>
            <w:r>
              <w:t>close &lt; open</w:t>
            </w:r>
          </w:p>
        </w:tc>
      </w:tr>
      <w:tr>
        <w:tc>
          <w:tcPr>
            <w:tcW w:type="dxa" w:w="4320"/>
          </w:tcPr>
          <w:p>
            <w:r>
              <w:t>doji</w:t>
            </w:r>
          </w:p>
        </w:tc>
        <w:tc>
          <w:tcPr>
            <w:tcW w:type="dxa" w:w="4320"/>
          </w:tcPr>
          <w:p>
            <w:r>
              <w:t>body &lt; 0.1 × total_range</w:t>
            </w:r>
          </w:p>
        </w:tc>
      </w:tr>
    </w:tbl>
    <w:p/>
    <w:p>
      <w:pPr>
        <w:pStyle w:val="Heading2"/>
      </w:pPr>
      <w:r>
        <w:t>§0.2  Wick Ratio Formula (Universal)</w:t>
      </w:r>
    </w:p>
    <w:p>
      <w:r>
        <w:rPr>
          <w:b/>
          <w:i w:val="0"/>
          <w:sz w:val="20"/>
        </w:rPr>
        <w:t>MANDATORY: This is the single wick ratio formula used across ALL strategies. No alternative formula is permitted.</w:t>
      </w:r>
    </w:p>
    <w:p>
      <w:pPr>
        <w:pStyle w:val="NoSpacing"/>
        <w:shd w:val="clear" w:color="auto" w:fill="F0F0F0"/>
      </w:pPr>
      <w:r>
        <w:rPr>
          <w:rFonts w:ascii="Courier New" w:hAnsi="Courier New"/>
          <w:color w:val="202020"/>
          <w:sz w:val="18"/>
        </w:rPr>
        <w:t>wick_ratio = longer_wick / body   (where body &gt; 0)</w:t>
      </w:r>
    </w:p>
    <w:p>
      <w:pPr>
        <w:pStyle w:val="NoSpacing"/>
        <w:shd w:val="clear" w:color="auto" w:fill="F0F0F0"/>
      </w:pPr>
      <w:r>
        <w:rPr>
          <w:rFonts w:ascii="Courier New" w:hAnsi="Courier New"/>
          <w:color w:val="202020"/>
          <w:sz w:val="18"/>
        </w:rPr>
        <w:t>If body == 0 (doji): wick_ratio = longer_wick / total_range</w:t>
      </w:r>
    </w:p>
    <w:p>
      <w:r>
        <w:rPr>
          <w:b w:val="0"/>
          <w:i w:val="0"/>
          <w:sz w:val="20"/>
        </w:rPr>
        <w:t>Threshold: wick_ratio ≥ 0.4 is the default minimum for a valid rejection candle.</w:t>
      </w:r>
    </w:p>
    <w:p>
      <w:r>
        <w:rPr>
          <w:b w:val="0"/>
          <w:i/>
          <w:sz w:val="18"/>
        </w:rPr>
        <w:t>Rationale: longer_wick / body measures how much the wick extends relative to the committed price movement. A ratio of 0.4 means the wick is at least 40% as long as the body — a meaningful rejection signal.</w:t>
      </w:r>
    </w:p>
    <w:p/>
    <w:p>
      <w:pPr>
        <w:pStyle w:val="Heading2"/>
      </w:pPr>
      <w:r>
        <w:t>§0.3  Rejection Candle Standard Definition</w:t>
      </w:r>
    </w:p>
    <w:p>
      <w:r>
        <w:rPr>
          <w:b w:val="0"/>
          <w:i w:val="0"/>
          <w:sz w:val="20"/>
        </w:rPr>
        <w:t>Used identically in: TREND_PULLBACK, RANGE_REVERSION, MEAN_REVERT_BAND, MOMENTUM_CONT</w:t>
      </w:r>
    </w:p>
    <w:p>
      <w:r>
        <w:rPr>
          <w:b/>
          <w:i w:val="0"/>
          <w:sz w:val="20"/>
        </w:rPr>
        <w:t>BULLISH REJECTION CANDLE — all conditions must be true:</w:t>
      </w:r>
    </w:p>
    <w:p>
      <w:pPr>
        <w:pStyle w:val="NoSpacing"/>
        <w:shd w:val="clear" w:color="auto" w:fill="F0F0F0"/>
      </w:pPr>
      <w:r>
        <w:rPr>
          <w:rFonts w:ascii="Courier New" w:hAnsi="Courier New"/>
          <w:color w:val="202020"/>
          <w:sz w:val="18"/>
        </w:rPr>
        <w:t>1. lower_wick / total_range &gt;= 0.35   (wick occupies ≥35% of total range)</w:t>
      </w:r>
    </w:p>
    <w:p>
      <w:pPr>
        <w:pStyle w:val="NoSpacing"/>
        <w:shd w:val="clear" w:color="auto" w:fill="F0F0F0"/>
      </w:pPr>
      <w:r>
        <w:rPr>
          <w:rFonts w:ascii="Courier New" w:hAnsi="Courier New"/>
          <w:color w:val="202020"/>
          <w:sz w:val="18"/>
        </w:rPr>
        <w:t>2. wick_ratio &gt;= 0.4                  (lower_wick / body &gt;= 0.4)</w:t>
      </w:r>
    </w:p>
    <w:p>
      <w:pPr>
        <w:pStyle w:val="NoSpacing"/>
        <w:shd w:val="clear" w:color="auto" w:fill="F0F0F0"/>
      </w:pPr>
      <w:r>
        <w:rPr>
          <w:rFonts w:ascii="Courier New" w:hAnsi="Courier New"/>
          <w:color w:val="202020"/>
          <w:sz w:val="18"/>
        </w:rPr>
        <w:t>3. close &gt; open                       (bullish close)</w:t>
      </w:r>
    </w:p>
    <w:p>
      <w:pPr>
        <w:pStyle w:val="NoSpacing"/>
        <w:shd w:val="clear" w:color="auto" w:fill="F0F0F0"/>
      </w:pPr>
      <w:r>
        <w:rPr>
          <w:rFonts w:ascii="Courier New" w:hAnsi="Courier New"/>
          <w:color w:val="202020"/>
          <w:sz w:val="18"/>
        </w:rPr>
        <w:t>4. close &gt;= (low + 0.6 × total_range) (close in upper 40% of candle)</w:t>
      </w:r>
    </w:p>
    <w:p>
      <w:pPr>
        <w:pStyle w:val="NoSpacing"/>
        <w:shd w:val="clear" w:color="auto" w:fill="F0F0F0"/>
      </w:pPr>
      <w:r>
        <w:rPr>
          <w:rFonts w:ascii="Courier New" w:hAnsi="Courier New"/>
          <w:color w:val="202020"/>
          <w:sz w:val="18"/>
        </w:rPr>
        <w:t>5. body &gt;= 0.05 × total_range         (not a doji)</w:t>
      </w:r>
    </w:p>
    <w:p>
      <w:r>
        <w:rPr>
          <w:b/>
          <w:i w:val="0"/>
          <w:sz w:val="20"/>
        </w:rPr>
        <w:t>BEARISH REJECTION CANDLE — all conditions must be true:</w:t>
      </w:r>
    </w:p>
    <w:p>
      <w:pPr>
        <w:pStyle w:val="NoSpacing"/>
        <w:shd w:val="clear" w:color="auto" w:fill="F0F0F0"/>
      </w:pPr>
      <w:r>
        <w:rPr>
          <w:rFonts w:ascii="Courier New" w:hAnsi="Courier New"/>
          <w:color w:val="202020"/>
          <w:sz w:val="18"/>
        </w:rPr>
        <w:t>1. upper_wick / total_range &gt;= 0.35   (wick occupies ≥35% of total range)</w:t>
      </w:r>
    </w:p>
    <w:p>
      <w:pPr>
        <w:pStyle w:val="NoSpacing"/>
        <w:shd w:val="clear" w:color="auto" w:fill="F0F0F0"/>
      </w:pPr>
      <w:r>
        <w:rPr>
          <w:rFonts w:ascii="Courier New" w:hAnsi="Courier New"/>
          <w:color w:val="202020"/>
          <w:sz w:val="18"/>
        </w:rPr>
        <w:t>2. wick_ratio &gt;= 0.4                  (upper_wick / body &gt;= 0.4)</w:t>
      </w:r>
    </w:p>
    <w:p>
      <w:pPr>
        <w:pStyle w:val="NoSpacing"/>
        <w:shd w:val="clear" w:color="auto" w:fill="F0F0F0"/>
      </w:pPr>
      <w:r>
        <w:rPr>
          <w:rFonts w:ascii="Courier New" w:hAnsi="Courier New"/>
          <w:color w:val="202020"/>
          <w:sz w:val="18"/>
        </w:rPr>
        <w:t>3. close &lt; open                       (bearish close)</w:t>
      </w:r>
    </w:p>
    <w:p>
      <w:pPr>
        <w:pStyle w:val="NoSpacing"/>
        <w:shd w:val="clear" w:color="auto" w:fill="F0F0F0"/>
      </w:pPr>
      <w:r>
        <w:rPr>
          <w:rFonts w:ascii="Courier New" w:hAnsi="Courier New"/>
          <w:color w:val="202020"/>
          <w:sz w:val="18"/>
        </w:rPr>
        <w:t>4. close &lt;= (high - 0.6 × total_range)(close in lower 40% of candle)</w:t>
      </w:r>
    </w:p>
    <w:p>
      <w:pPr>
        <w:pStyle w:val="NoSpacing"/>
        <w:shd w:val="clear" w:color="auto" w:fill="F0F0F0"/>
      </w:pPr>
      <w:r>
        <w:rPr>
          <w:rFonts w:ascii="Courier New" w:hAnsi="Courier New"/>
          <w:color w:val="202020"/>
          <w:sz w:val="18"/>
        </w:rPr>
        <w:t>5. body &gt;= 0.05 × total_range         (not a doji)</w:t>
      </w:r>
    </w:p>
    <w:p>
      <w:r>
        <w:rPr>
          <w:b/>
          <w:i w:val="0"/>
          <w:sz w:val="20"/>
        </w:rPr>
        <w:t>ENGULFING CANDLE (alternative confirmation):</w:t>
      </w:r>
    </w:p>
    <w:p>
      <w:pPr>
        <w:pStyle w:val="NoSpacing"/>
        <w:shd w:val="clear" w:color="auto" w:fill="F0F0F0"/>
      </w:pPr>
      <w:r>
        <w:rPr>
          <w:rFonts w:ascii="Courier New" w:hAnsi="Courier New"/>
          <w:color w:val="202020"/>
          <w:sz w:val="18"/>
        </w:rPr>
        <w:t>Bullish:  close[0] &gt; open[1] AND open[0] &lt; close[1] AND body[0] &gt; body[1]</w:t>
      </w:r>
    </w:p>
    <w:p>
      <w:pPr>
        <w:pStyle w:val="NoSpacing"/>
        <w:shd w:val="clear" w:color="auto" w:fill="F0F0F0"/>
      </w:pPr>
      <w:r>
        <w:rPr>
          <w:rFonts w:ascii="Courier New" w:hAnsi="Courier New"/>
          <w:color w:val="202020"/>
          <w:sz w:val="18"/>
        </w:rPr>
        <w:t>Bearish:  close[0] &lt; open[1] AND open[0] &gt; close[1] AND body[0] &gt; body[1]</w:t>
      </w:r>
    </w:p>
    <w:p>
      <w:r>
        <w:rPr>
          <w:b w:val="0"/>
          <w:i/>
          <w:sz w:val="18"/>
        </w:rPr>
        <w:t>Note: [0] = current candle, [1] = previous candle</w:t>
      </w:r>
    </w:p>
    <w:p/>
    <w:p>
      <w:pPr>
        <w:pStyle w:val="Heading2"/>
      </w:pPr>
      <w:r>
        <w:t>§0.4  Confidence Scoring System</w:t>
      </w:r>
    </w:p>
    <w:p>
      <w:r>
        <w:rPr>
          <w:b w:val="0"/>
          <w:i w:val="0"/>
          <w:sz w:val="20"/>
        </w:rPr>
        <w:t>Every strategy outputs a confidence score in [0.0, 1.0]. The scoring system is weighted and rule-tiered.</w:t>
      </w:r>
    </w:p>
    <w:p>
      <w:r>
        <w:rPr>
          <w:b/>
          <w:i w:val="0"/>
          <w:sz w:val="20"/>
        </w:rPr>
        <w:t>Rule Tiers: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Tier</w:t>
            </w:r>
          </w:p>
        </w:tc>
        <w:tc>
          <w:tcPr>
            <w:tcW w:type="dxa" w:w="2880"/>
          </w:tcPr>
          <w:p>
            <w:r>
              <w:rPr>
                <w:b/>
              </w:rPr>
              <w:t>Weight</w:t>
            </w:r>
          </w:p>
        </w:tc>
        <w:tc>
          <w:tcPr>
            <w:tcW w:type="dxa" w:w="2880"/>
          </w:tcPr>
          <w:p>
            <w:r>
              <w:rPr>
                <w:b/>
              </w:rPr>
              <w:t>Behaviour</w:t>
            </w:r>
          </w:p>
        </w:tc>
      </w:tr>
      <w:tr>
        <w:tc>
          <w:tcPr>
            <w:tcW w:type="dxa" w:w="2880"/>
          </w:tcPr>
          <w:p>
            <w:r>
              <w:t>MANDATORY</w:t>
            </w:r>
          </w:p>
        </w:tc>
        <w:tc>
          <w:tcPr>
            <w:tcW w:type="dxa" w:w="2880"/>
          </w:tcPr>
          <w:p>
            <w:r>
              <w:t>3 pts</w:t>
            </w:r>
          </w:p>
        </w:tc>
        <w:tc>
          <w:tcPr>
            <w:tcW w:type="dxa" w:w="2880"/>
          </w:tcPr>
          <w:p>
            <w:r>
              <w:t>Any single MANDATORY fail → confidence = 0.0 (signal suppressed)</w:t>
            </w:r>
          </w:p>
        </w:tc>
      </w:tr>
      <w:tr>
        <w:tc>
          <w:tcPr>
            <w:tcW w:type="dxa" w:w="2880"/>
          </w:tcPr>
          <w:p>
            <w:r>
              <w:t>STRONG</w:t>
            </w:r>
          </w:p>
        </w:tc>
        <w:tc>
          <w:tcPr>
            <w:tcW w:type="dxa" w:w="2880"/>
          </w:tcPr>
          <w:p>
            <w:r>
              <w:t>2 pts</w:t>
            </w:r>
          </w:p>
        </w:tc>
        <w:tc>
          <w:tcPr>
            <w:tcW w:type="dxa" w:w="2880"/>
          </w:tcPr>
          <w:p>
            <w:r>
              <w:t>Failure reduces score significantly but does not suppress signal</w:t>
            </w:r>
          </w:p>
        </w:tc>
      </w:tr>
      <w:tr>
        <w:tc>
          <w:tcPr>
            <w:tcW w:type="dxa" w:w="2880"/>
          </w:tcPr>
          <w:p>
            <w:r>
              <w:t>OPTIONAL</w:t>
            </w:r>
          </w:p>
        </w:tc>
        <w:tc>
          <w:tcPr>
            <w:tcW w:type="dxa" w:w="2880"/>
          </w:tcPr>
          <w:p>
            <w:r>
              <w:t>1 pt</w:t>
            </w:r>
          </w:p>
        </w:tc>
        <w:tc>
          <w:tcPr>
            <w:tcW w:type="dxa" w:w="2880"/>
          </w:tcPr>
          <w:p>
            <w:r>
              <w:t>Bonus points — enhances confidence when met</w:t>
            </w:r>
          </w:p>
        </w:tc>
      </w:tr>
    </w:tbl>
    <w:p/>
    <w:p>
      <w:r>
        <w:rPr>
          <w:b/>
          <w:i w:val="0"/>
          <w:sz w:val="20"/>
        </w:rPr>
        <w:t>Scoring Formula:</w:t>
      </w:r>
    </w:p>
    <w:p>
      <w:pPr>
        <w:pStyle w:val="NoSpacing"/>
        <w:shd w:val="clear" w:color="auto" w:fill="F0F0F0"/>
      </w:pPr>
      <w:r>
        <w:rPr>
          <w:rFonts w:ascii="Courier New" w:hAnsi="Courier New"/>
          <w:color w:val="202020"/>
          <w:sz w:val="18"/>
        </w:rPr>
        <w:t>max_score = sum of weights for all rules in strategy</w:t>
      </w:r>
    </w:p>
    <w:p>
      <w:pPr>
        <w:pStyle w:val="NoSpacing"/>
        <w:shd w:val="clear" w:color="auto" w:fill="F0F0F0"/>
      </w:pPr>
      <w:r>
        <w:rPr>
          <w:rFonts w:ascii="Courier New" w:hAnsi="Courier New"/>
          <w:color w:val="202020"/>
          <w:sz w:val="18"/>
        </w:rPr>
        <w:t>earned_score = sum of weights for all rules that PASS</w:t>
      </w:r>
    </w:p>
    <w:p>
      <w:pPr>
        <w:pStyle w:val="NoSpacing"/>
        <w:shd w:val="clear" w:color="auto" w:fill="F0F0F0"/>
      </w:pPr>
      <w:r>
        <w:rPr>
          <w:rFonts w:ascii="Courier New" w:hAnsi="Courier New"/>
          <w:color w:val="202020"/>
          <w:sz w:val="18"/>
        </w:rPr>
        <w:t>raw_confidence = earned_score / max_score</w:t>
      </w:r>
    </w:p>
    <w:p>
      <w:pPr>
        <w:pStyle w:val="NoSpacing"/>
        <w:shd w:val="clear" w:color="auto" w:fill="F0F0F0"/>
      </w:pPr>
      <w:r>
        <w:rPr>
          <w:rFonts w:ascii="Courier New" w:hAnsi="Courier New"/>
          <w:color w:val="202020"/>
          <w:sz w:val="18"/>
        </w:rPr>
        <w:t>confidence = 0.0 if any MANDATORY rule fails else round(raw_confidence, 2)</w:t>
      </w:r>
    </w:p>
    <w:p>
      <w:r>
        <w:rPr>
          <w:b/>
          <w:i w:val="0"/>
          <w:sz w:val="20"/>
        </w:rPr>
        <w:t>Example — TREND_PULLBACK with 9 rules:</w:t>
      </w:r>
    </w:p>
    <w:p>
      <w:pPr>
        <w:pStyle w:val="NoSpacing"/>
        <w:shd w:val="clear" w:color="auto" w:fill="F0F0F0"/>
      </w:pPr>
      <w:r>
        <w:rPr>
          <w:rFonts w:ascii="Courier New" w:hAnsi="Courier New"/>
          <w:color w:val="202020"/>
          <w:sz w:val="18"/>
        </w:rPr>
        <w:t>Rules: trend_confirmed(M), ema_zone(M), rejection_wick(M), adx_filter(S),</w:t>
      </w:r>
    </w:p>
    <w:p>
      <w:pPr>
        <w:pStyle w:val="NoSpacing"/>
        <w:shd w:val="clear" w:color="auto" w:fill="F0F0F0"/>
      </w:pPr>
      <w:r>
        <w:rPr>
          <w:rFonts w:ascii="Courier New" w:hAnsi="Courier New"/>
          <w:color w:val="202020"/>
          <w:sz w:val="18"/>
        </w:rPr>
        <w:t xml:space="preserve">       volume_filter(S), fib_depth(S), higher_tf_align(O), session(O), spread(O)</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Scenario: trend✓ ema✓ wick✓ adx✓ volume✗ fib✓ htf✓ session✓ spread✗</w:t>
      </w:r>
    </w:p>
    <w:p>
      <w:pPr>
        <w:pStyle w:val="NoSpacing"/>
        <w:shd w:val="clear" w:color="auto" w:fill="F0F0F0"/>
      </w:pPr>
      <w:r>
        <w:rPr>
          <w:rFonts w:ascii="Courier New" w:hAnsi="Courier New"/>
          <w:color w:val="202020"/>
          <w:sz w:val="18"/>
        </w:rPr>
        <w:t>Earned:   3+3+3+2+0+2+1+1+0 = 15  |  Max: 3+3+3+2+2+2+1+1+1 = 18</w:t>
      </w:r>
    </w:p>
    <w:p>
      <w:pPr>
        <w:pStyle w:val="NoSpacing"/>
        <w:shd w:val="clear" w:color="auto" w:fill="F0F0F0"/>
      </w:pPr>
      <w:r>
        <w:rPr>
          <w:rFonts w:ascii="Courier New" w:hAnsi="Courier New"/>
          <w:color w:val="202020"/>
          <w:sz w:val="18"/>
        </w:rPr>
        <w:t>Confidence = 15/18 = 0.83</w:t>
      </w:r>
    </w:p>
    <w:p/>
    <w:p>
      <w:pPr>
        <w:pStyle w:val="Heading2"/>
      </w:pPr>
      <w:r>
        <w:t>§0.5  Timeframe &amp; Minimum Data Rules</w:t>
      </w:r>
    </w:p>
    <w:p>
      <w:r>
        <w:rPr>
          <w:b/>
          <w:i w:val="0"/>
          <w:sz w:val="20"/>
        </w:rPr>
        <w:t>TIMEFRAME SCALING RULE:</w:t>
      </w:r>
    </w:p>
    <w:p>
      <w:r>
        <w:rPr>
          <w:b w:val="0"/>
          <w:i w:val="0"/>
          <w:sz w:val="20"/>
        </w:rPr>
        <w:t>All indicator periods are bar-count based, not time-based. A 20-bar EMA means 20 candles regardless of timeframe. A 20-bar EMA on M5 covers 100 minutes. On H1 it covers 20 hours. This is intentional — the strategy logic is calibrated to bar structure, not clock time.</w:t>
      </w:r>
    </w:p>
    <w:p>
      <w:r>
        <w:rPr>
          <w:b/>
          <w:i w:val="0"/>
          <w:sz w:val="20"/>
        </w:rPr>
        <w:t>MINIMUM DATA REQUIREMENT (hard rule, non-overridable):</w:t>
      </w:r>
    </w:p>
    <w:p>
      <w:pPr>
        <w:pStyle w:val="NoSpacing"/>
        <w:shd w:val="clear" w:color="auto" w:fill="F0F0F0"/>
      </w:pPr>
      <w:r>
        <w:rPr>
          <w:rFonts w:ascii="Courier New" w:hAnsi="Courier New"/>
          <w:color w:val="202020"/>
          <w:sz w:val="18"/>
        </w:rPr>
        <w:t>MIN_BARS_REQUIRED = 200</w:t>
      </w:r>
    </w:p>
    <w:p>
      <w:pPr>
        <w:pStyle w:val="NoSpacing"/>
        <w:shd w:val="clear" w:color="auto" w:fill="F0F0F0"/>
      </w:pPr>
      <w:r>
        <w:rPr>
          <w:rFonts w:ascii="Courier New" w:hAnsi="Courier New"/>
          <w:color w:val="202020"/>
          <w:sz w:val="18"/>
        </w:rPr>
        <w:t>No signal of any kind is generated until 200 bars of history are available.</w:t>
      </w:r>
    </w:p>
    <w:p>
      <w:pPr>
        <w:pStyle w:val="NoSpacing"/>
        <w:shd w:val="clear" w:color="auto" w:fill="F0F0F0"/>
      </w:pPr>
      <w:r>
        <w:rPr>
          <w:rFonts w:ascii="Courier New" w:hAnsi="Courier New"/>
          <w:color w:val="202020"/>
          <w:sz w:val="18"/>
        </w:rPr>
        <w:t>This ensures: EMA200 is valid, ADX(14) is stable, ATR(14) is reliable,</w:t>
      </w:r>
    </w:p>
    <w:p>
      <w:pPr>
        <w:pStyle w:val="NoSpacing"/>
        <w:shd w:val="clear" w:color="auto" w:fill="F0F0F0"/>
      </w:pPr>
      <w:r>
        <w:rPr>
          <w:rFonts w:ascii="Courier New" w:hAnsi="Courier New"/>
          <w:color w:val="202020"/>
          <w:sz w:val="18"/>
        </w:rPr>
        <w:t xml:space="preserve">              BB(20) is valid, pivot detection has sufficient lookback.</w:t>
      </w:r>
    </w:p>
    <w:p>
      <w:r>
        <w:rPr>
          <w:b/>
          <w:i w:val="0"/>
          <w:sz w:val="20"/>
        </w:rPr>
        <w:t>Standard Indicator Periods (defaults, user-overridable):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Indicator</w:t>
            </w:r>
          </w:p>
        </w:tc>
        <w:tc>
          <w:tcPr>
            <w:tcW w:type="dxa" w:w="2880"/>
          </w:tcPr>
          <w:p>
            <w:r>
              <w:rPr>
                <w:b/>
              </w:rPr>
              <w:t>Default Period</w:t>
            </w:r>
          </w:p>
        </w:tc>
        <w:tc>
          <w:tcPr>
            <w:tcW w:type="dxa" w:w="2880"/>
          </w:tcPr>
          <w:p>
            <w:r>
              <w:rPr>
                <w:b/>
              </w:rPr>
              <w:t>Notes</w:t>
            </w:r>
          </w:p>
        </w:tc>
      </w:tr>
      <w:tr>
        <w:tc>
          <w:tcPr>
            <w:tcW w:type="dxa" w:w="2880"/>
          </w:tcPr>
          <w:p>
            <w:r>
              <w:t>EMA fast</w:t>
            </w:r>
          </w:p>
        </w:tc>
        <w:tc>
          <w:tcPr>
            <w:tcW w:type="dxa" w:w="2880"/>
          </w:tcPr>
          <w:p>
            <w:r>
              <w:t>20</w:t>
            </w:r>
          </w:p>
        </w:tc>
        <w:tc>
          <w:tcPr>
            <w:tcW w:type="dxa" w:w="2880"/>
          </w:tcPr>
          <w:p>
            <w:r>
              <w:t>Use EMA throughout — not SMA</w:t>
            </w:r>
          </w:p>
        </w:tc>
      </w:tr>
      <w:tr>
        <w:tc>
          <w:tcPr>
            <w:tcW w:type="dxa" w:w="2880"/>
          </w:tcPr>
          <w:p>
            <w:r>
              <w:t>EMA mid</w:t>
            </w:r>
          </w:p>
        </w:tc>
        <w:tc>
          <w:tcPr>
            <w:tcW w:type="dxa" w:w="2880"/>
          </w:tcPr>
          <w:p>
            <w:r>
              <w:t>50</w:t>
            </w:r>
          </w:p>
        </w:tc>
        <w:tc>
          <w:tcPr>
            <w:tcW w:type="dxa" w:w="2880"/>
          </w:tcPr>
          <w:p>
            <w:r/>
          </w:p>
        </w:tc>
      </w:tr>
      <w:tr>
        <w:tc>
          <w:tcPr>
            <w:tcW w:type="dxa" w:w="2880"/>
          </w:tcPr>
          <w:p>
            <w:r>
              <w:t>EMA slow</w:t>
            </w:r>
          </w:p>
        </w:tc>
        <w:tc>
          <w:tcPr>
            <w:tcW w:type="dxa" w:w="2880"/>
          </w:tcPr>
          <w:p>
            <w:r>
              <w:t>200</w:t>
            </w:r>
          </w:p>
        </w:tc>
        <w:tc>
          <w:tcPr>
            <w:tcW w:type="dxa" w:w="2880"/>
          </w:tcPr>
          <w:p>
            <w:r>
              <w:t>Trend direction anchor</w:t>
            </w:r>
          </w:p>
        </w:tc>
      </w:tr>
      <w:tr>
        <w:tc>
          <w:tcPr>
            <w:tcW w:type="dxa" w:w="2880"/>
          </w:tcPr>
          <w:p>
            <w:r>
              <w:t>ATR</w:t>
            </w:r>
          </w:p>
        </w:tc>
        <w:tc>
          <w:tcPr>
            <w:tcW w:type="dxa" w:w="2880"/>
          </w:tcPr>
          <w:p>
            <w:r>
              <w:t>14</w:t>
            </w:r>
          </w:p>
        </w:tc>
        <w:tc>
          <w:tcPr>
            <w:tcW w:type="dxa" w:w="2880"/>
          </w:tcPr>
          <w:p>
            <w:r>
              <w:t>All ATR-based stops use this</w:t>
            </w:r>
          </w:p>
        </w:tc>
      </w:tr>
      <w:tr>
        <w:tc>
          <w:tcPr>
            <w:tcW w:type="dxa" w:w="2880"/>
          </w:tcPr>
          <w:p>
            <w:r>
              <w:t>ADX</w:t>
            </w:r>
          </w:p>
        </w:tc>
        <w:tc>
          <w:tcPr>
            <w:tcW w:type="dxa" w:w="2880"/>
          </w:tcPr>
          <w:p>
            <w:r>
              <w:t>14</w:t>
            </w:r>
          </w:p>
        </w:tc>
        <w:tc>
          <w:tcPr>
            <w:tcW w:type="dxa" w:w="2880"/>
          </w:tcPr>
          <w:p>
            <w:r>
              <w:t>Regime classification</w:t>
            </w:r>
          </w:p>
        </w:tc>
      </w:tr>
      <w:tr>
        <w:tc>
          <w:tcPr>
            <w:tcW w:type="dxa" w:w="2880"/>
          </w:tcPr>
          <w:p>
            <w:r>
              <w:t>Bollinger Bands</w:t>
            </w:r>
          </w:p>
        </w:tc>
        <w:tc>
          <w:tcPr>
            <w:tcW w:type="dxa" w:w="2880"/>
          </w:tcPr>
          <w:p>
            <w:r>
              <w:t>20, stddev=2.0</w:t>
            </w:r>
          </w:p>
        </w:tc>
        <w:tc>
          <w:tcPr>
            <w:tcW w:type="dxa" w:w="2880"/>
          </w:tcPr>
          <w:p>
            <w:r>
              <w:t>Single BB config across all strategies</w:t>
            </w:r>
          </w:p>
        </w:tc>
      </w:tr>
      <w:tr>
        <w:tc>
          <w:tcPr>
            <w:tcW w:type="dxa" w:w="2880"/>
          </w:tcPr>
          <w:p>
            <w:r>
              <w:t>RSI</w:t>
            </w:r>
          </w:p>
        </w:tc>
        <w:tc>
          <w:tcPr>
            <w:tcW w:type="dxa" w:w="2880"/>
          </w:tcPr>
          <w:p>
            <w:r>
              <w:t>14</w:t>
            </w:r>
          </w:p>
        </w:tc>
        <w:tc>
          <w:tcPr>
            <w:tcW w:type="dxa" w:w="2880"/>
          </w:tcPr>
          <w:p>
            <w:r>
              <w:t>Used in MEAN_REVERT_BAND</w:t>
            </w:r>
          </w:p>
        </w:tc>
      </w:tr>
      <w:tr>
        <w:tc>
          <w:tcPr>
            <w:tcW w:type="dxa" w:w="2880"/>
          </w:tcPr>
          <w:p>
            <w:r>
              <w:t>Volume MA</w:t>
            </w:r>
          </w:p>
        </w:tc>
        <w:tc>
          <w:tcPr>
            <w:tcW w:type="dxa" w:w="2880"/>
          </w:tcPr>
          <w:p>
            <w:r>
              <w:t>20</w:t>
            </w:r>
          </w:p>
        </w:tc>
        <w:tc>
          <w:tcPr>
            <w:tcW w:type="dxa" w:w="2880"/>
          </w:tcPr>
          <w:p>
            <w:r>
              <w:t>Volume filter baseline</w:t>
            </w:r>
          </w:p>
        </w:tc>
      </w:tr>
    </w:tbl>
    <w:p/>
    <w:p>
      <w:pPr>
        <w:pStyle w:val="Heading2"/>
      </w:pPr>
      <w:r>
        <w:t>§0.6  Regime Hysteresis Rules</w:t>
      </w:r>
    </w:p>
    <w:p>
      <w:r>
        <w:rPr>
          <w:b w:val="0"/>
          <w:i w:val="0"/>
          <w:sz w:val="20"/>
        </w:rPr>
        <w:t>To prevent whipsaw re-classification when ADX oscillates near thresholds, asymmetric entry/exit thresholds are used for all regime boundaries.</w:t>
      </w:r>
    </w:p>
    <w:p>
      <w:pPr>
        <w:pStyle w:val="NoSpacing"/>
        <w:shd w:val="clear" w:color="auto" w:fill="F0F0F0"/>
      </w:pPr>
      <w:r>
        <w:rPr>
          <w:rFonts w:ascii="Courier New" w:hAnsi="Courier New"/>
          <w:color w:val="202020"/>
          <w:sz w:val="18"/>
        </w:rPr>
        <w:t>STRONG TREND:  Enter when ADX &gt; 25  |  Exit when ADX &lt; 22</w:t>
      </w:r>
    </w:p>
    <w:p>
      <w:pPr>
        <w:pStyle w:val="NoSpacing"/>
        <w:shd w:val="clear" w:color="auto" w:fill="F0F0F0"/>
      </w:pPr>
      <w:r>
        <w:rPr>
          <w:rFonts w:ascii="Courier New" w:hAnsi="Courier New"/>
          <w:color w:val="202020"/>
          <w:sz w:val="18"/>
        </w:rPr>
        <w:t>WEAK TREND:    Enter when ADX 18–25 |  Exit when ADX &lt; 15 or ADX &gt; 27</w:t>
      </w:r>
    </w:p>
    <w:p>
      <w:pPr>
        <w:pStyle w:val="NoSpacing"/>
        <w:shd w:val="clear" w:color="auto" w:fill="F0F0F0"/>
      </w:pPr>
      <w:r>
        <w:rPr>
          <w:rFonts w:ascii="Courier New" w:hAnsi="Courier New"/>
          <w:color w:val="202020"/>
          <w:sz w:val="18"/>
        </w:rPr>
        <w:t>RANGE:         Enter when ADX &lt; 18  |  Exit when ADX &gt; 21</w:t>
      </w:r>
    </w:p>
    <w:p>
      <w:pPr>
        <w:pStyle w:val="NoSpacing"/>
        <w:shd w:val="clear" w:color="auto" w:fill="F0F0F0"/>
      </w:pPr>
      <w:r>
        <w:rPr>
          <w:rFonts w:ascii="Courier New" w:hAnsi="Courier New"/>
          <w:color w:val="202020"/>
          <w:sz w:val="18"/>
        </w:rPr>
        <w:t>HIGH_VOL:      Enter when ATR &gt; 2.0×avg_ATR | Exit when ATR &lt; 1.6×avg_ATR</w:t>
      </w:r>
    </w:p>
    <w:p>
      <w:r>
        <w:rPr>
          <w:b w:val="0"/>
          <w:i/>
          <w:sz w:val="18"/>
        </w:rPr>
        <w:t>Implementation: Maintain current_regime as state. Only update when exit threshold is crossed, not when entry threshold is merely touched from the other side.</w:t>
      </w:r>
    </w:p>
    <w:p/>
    <w:p>
      <w:pPr>
        <w:pStyle w:val="Heading2"/>
      </w:pPr>
      <w:r>
        <w:t>§0.7  Volume Interpretation by Instrument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Instrument Type</w:t>
            </w:r>
          </w:p>
        </w:tc>
        <w:tc>
          <w:tcPr>
            <w:tcW w:type="dxa" w:w="2880"/>
          </w:tcPr>
          <w:p>
            <w:r>
              <w:rPr>
                <w:b/>
              </w:rPr>
              <w:t>Volume Type</w:t>
            </w:r>
          </w:p>
        </w:tc>
        <w:tc>
          <w:tcPr>
            <w:tcW w:type="dxa" w:w="2880"/>
          </w:tcPr>
          <w:p>
            <w:r>
              <w:rPr>
                <w:b/>
              </w:rPr>
              <w:t>Filter Rule</w:t>
            </w:r>
          </w:p>
        </w:tc>
      </w:tr>
      <w:tr>
        <w:tc>
          <w:tcPr>
            <w:tcW w:type="dxa" w:w="2880"/>
          </w:tcPr>
          <w:p>
            <w:r>
              <w:t>Crypto (BTC, ETH)</w:t>
            </w:r>
          </w:p>
        </w:tc>
        <w:tc>
          <w:tcPr>
            <w:tcW w:type="dxa" w:w="2880"/>
          </w:tcPr>
          <w:p>
            <w:r>
              <w:t>Real contract volume</w:t>
            </w:r>
          </w:p>
        </w:tc>
        <w:tc>
          <w:tcPr>
            <w:tcW w:type="dxa" w:w="2880"/>
          </w:tcPr>
          <w:p>
            <w:r>
              <w:t>volume &gt; 1.5 × 20-bar avg volume</w:t>
            </w:r>
          </w:p>
        </w:tc>
      </w:tr>
      <w:tr>
        <w:tc>
          <w:tcPr>
            <w:tcW w:type="dxa" w:w="2880"/>
          </w:tcPr>
          <w:p>
            <w:r>
              <w:t>Forex (EURUSD etc)</w:t>
            </w:r>
          </w:p>
        </w:tc>
        <w:tc>
          <w:tcPr>
            <w:tcW w:type="dxa" w:w="2880"/>
          </w:tcPr>
          <w:p>
            <w:r>
              <w:t>Tick volume (proxy)</w:t>
            </w:r>
          </w:p>
        </w:tc>
        <w:tc>
          <w:tcPr>
            <w:tcW w:type="dxa" w:w="2880"/>
          </w:tcPr>
          <w:p>
            <w:r>
              <w:t>volume &gt; 1.3 × 20-bar avg (lower threshold — tick vol noisier)</w:t>
            </w:r>
          </w:p>
        </w:tc>
      </w:tr>
      <w:tr>
        <w:tc>
          <w:tcPr>
            <w:tcW w:type="dxa" w:w="2880"/>
          </w:tcPr>
          <w:p>
            <w:r>
              <w:t>Indices (US100)</w:t>
            </w:r>
          </w:p>
        </w:tc>
        <w:tc>
          <w:tcPr>
            <w:tcW w:type="dxa" w:w="2880"/>
          </w:tcPr>
          <w:p>
            <w:r>
              <w:t>Tick volume</w:t>
            </w:r>
          </w:p>
        </w:tc>
        <w:tc>
          <w:tcPr>
            <w:tcW w:type="dxa" w:w="2880"/>
          </w:tcPr>
          <w:p>
            <w:r>
              <w:t>volume &gt; 1.3 × 20-bar avg</w:t>
            </w:r>
          </w:p>
        </w:tc>
      </w:tr>
      <w:tr>
        <w:tc>
          <w:tcPr>
            <w:tcW w:type="dxa" w:w="2880"/>
          </w:tcPr>
          <w:p>
            <w:r>
              <w:t>Gold (XAUUSD)</w:t>
            </w:r>
          </w:p>
        </w:tc>
        <w:tc>
          <w:tcPr>
            <w:tcW w:type="dxa" w:w="2880"/>
          </w:tcPr>
          <w:p>
            <w:r>
              <w:t>Tick volume</w:t>
            </w:r>
          </w:p>
        </w:tc>
        <w:tc>
          <w:tcPr>
            <w:tcW w:type="dxa" w:w="2880"/>
          </w:tcPr>
          <w:p>
            <w:r>
              <w:t>volume &gt; 1.3 × 20-bar avg</w:t>
            </w:r>
          </w:p>
        </w:tc>
      </w:tr>
      <w:tr>
        <w:tc>
          <w:tcPr>
            <w:tcW w:type="dxa" w:w="2880"/>
          </w:tcPr>
          <w:p>
            <w:r>
              <w:t>Stocks / Futures</w:t>
            </w:r>
          </w:p>
        </w:tc>
        <w:tc>
          <w:tcPr>
            <w:tcW w:type="dxa" w:w="2880"/>
          </w:tcPr>
          <w:p>
            <w:r>
              <w:t>Real contract volume</w:t>
            </w:r>
          </w:p>
        </w:tc>
        <w:tc>
          <w:tcPr>
            <w:tcW w:type="dxa" w:w="2880"/>
          </w:tcPr>
          <w:p>
            <w:r>
              <w:t>volume &gt; 1.5 × 20-bar avg</w:t>
            </w:r>
          </w:p>
        </w:tc>
      </w:tr>
    </w:tbl>
    <w:p/>
    <w:p>
      <w:pPr>
        <w:pStyle w:val="Heading2"/>
      </w:pPr>
      <w:r>
        <w:t>§0.8  Session &amp; Timezone Standards</w:t>
      </w:r>
    </w:p>
    <w:p>
      <w:r>
        <w:rPr>
          <w:b w:val="0"/>
          <w:i w:val="0"/>
          <w:sz w:val="20"/>
        </w:rPr>
        <w:t>All session times are in UTC. DST is handled by converting exchange local time to UTC at runtime.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rPr>
                <w:b/>
              </w:rPr>
              <w:t>Session</w:t>
            </w:r>
          </w:p>
        </w:tc>
        <w:tc>
          <w:tcPr>
            <w:tcW w:type="dxa" w:w="2160"/>
          </w:tcPr>
          <w:p>
            <w:r>
              <w:rPr>
                <w:b/>
              </w:rPr>
              <w:t>UTC Start</w:t>
            </w:r>
          </w:p>
        </w:tc>
        <w:tc>
          <w:tcPr>
            <w:tcW w:type="dxa" w:w="2160"/>
          </w:tcPr>
          <w:p>
            <w:r>
              <w:rPr>
                <w:b/>
              </w:rPr>
              <w:t>UTC End</w:t>
            </w:r>
          </w:p>
        </w:tc>
        <w:tc>
          <w:tcPr>
            <w:tcW w:type="dxa" w:w="2160"/>
          </w:tcPr>
          <w:p>
            <w:r>
              <w:rPr>
                <w:b/>
              </w:rPr>
              <w:t>Notes</w:t>
            </w:r>
          </w:p>
        </w:tc>
      </w:tr>
      <w:tr>
        <w:tc>
          <w:tcPr>
            <w:tcW w:type="dxa" w:w="2160"/>
          </w:tcPr>
          <w:p>
            <w:r>
              <w:t>Asia</w:t>
            </w:r>
          </w:p>
        </w:tc>
        <w:tc>
          <w:tcPr>
            <w:tcW w:type="dxa" w:w="2160"/>
          </w:tcPr>
          <w:p>
            <w:r>
              <w:t>00:00</w:t>
            </w:r>
          </w:p>
        </w:tc>
        <w:tc>
          <w:tcPr>
            <w:tcW w:type="dxa" w:w="2160"/>
          </w:tcPr>
          <w:p>
            <w:r>
              <w:t>08:00</w:t>
            </w:r>
          </w:p>
        </w:tc>
        <w:tc>
          <w:tcPr>
            <w:tcW w:type="dxa" w:w="2160"/>
          </w:tcPr>
          <w:p>
            <w:r>
              <w:t>Tokyo/Sydney overlap</w:t>
            </w:r>
          </w:p>
        </w:tc>
      </w:tr>
      <w:tr>
        <w:tc>
          <w:tcPr>
            <w:tcW w:type="dxa" w:w="2160"/>
          </w:tcPr>
          <w:p>
            <w:r>
              <w:t>London</w:t>
            </w:r>
          </w:p>
        </w:tc>
        <w:tc>
          <w:tcPr>
            <w:tcW w:type="dxa" w:w="2160"/>
          </w:tcPr>
          <w:p>
            <w:r>
              <w:t>07:00</w:t>
            </w:r>
          </w:p>
        </w:tc>
        <w:tc>
          <w:tcPr>
            <w:tcW w:type="dxa" w:w="2160"/>
          </w:tcPr>
          <w:p>
            <w:r>
              <w:t>16:00</w:t>
            </w:r>
          </w:p>
        </w:tc>
        <w:tc>
          <w:tcPr>
            <w:tcW w:type="dxa" w:w="2160"/>
          </w:tcPr>
          <w:p>
            <w:r>
              <w:t>Adjusted for BST: 06:00–15:00 UTC in summer</w:t>
            </w:r>
          </w:p>
        </w:tc>
      </w:tr>
      <w:tr>
        <w:tc>
          <w:tcPr>
            <w:tcW w:type="dxa" w:w="2160"/>
          </w:tcPr>
          <w:p>
            <w:r>
              <w:t>New York</w:t>
            </w:r>
          </w:p>
        </w:tc>
        <w:tc>
          <w:tcPr>
            <w:tcW w:type="dxa" w:w="2160"/>
          </w:tcPr>
          <w:p>
            <w:r>
              <w:t>13:00</w:t>
            </w:r>
          </w:p>
        </w:tc>
        <w:tc>
          <w:tcPr>
            <w:tcW w:type="dxa" w:w="2160"/>
          </w:tcPr>
          <w:p>
            <w:r>
              <w:t>22:00</w:t>
            </w:r>
          </w:p>
        </w:tc>
        <w:tc>
          <w:tcPr>
            <w:tcW w:type="dxa" w:w="2160"/>
          </w:tcPr>
          <w:p>
            <w:r>
              <w:t>Adjusted for EDT: 12:00–21:00 UTC in summer</w:t>
            </w:r>
          </w:p>
        </w:tc>
      </w:tr>
      <w:tr>
        <w:tc>
          <w:tcPr>
            <w:tcW w:type="dxa" w:w="2160"/>
          </w:tcPr>
          <w:p>
            <w:r>
              <w:t>London/NY Overlap</w:t>
            </w:r>
          </w:p>
        </w:tc>
        <w:tc>
          <w:tcPr>
            <w:tcW w:type="dxa" w:w="2160"/>
          </w:tcPr>
          <w:p>
            <w:r>
              <w:t>13:00</w:t>
            </w:r>
          </w:p>
        </w:tc>
        <w:tc>
          <w:tcPr>
            <w:tcW w:type="dxa" w:w="2160"/>
          </w:tcPr>
          <w:p>
            <w:r>
              <w:t>16:00</w:t>
            </w:r>
          </w:p>
        </w:tc>
        <w:tc>
          <w:tcPr>
            <w:tcW w:type="dxa" w:w="2160"/>
          </w:tcPr>
          <w:p>
            <w:r>
              <w:t>Highest liquidity window</w:t>
            </w:r>
          </w:p>
        </w:tc>
      </w:tr>
      <w:tr>
        <w:tc>
          <w:tcPr>
            <w:tcW w:type="dxa" w:w="2160"/>
          </w:tcPr>
          <w:p>
            <w:r>
              <w:t>ORB Window</w:t>
            </w:r>
          </w:p>
        </w:tc>
        <w:tc>
          <w:tcPr>
            <w:tcW w:type="dxa" w:w="2160"/>
          </w:tcPr>
          <w:p>
            <w:r>
              <w:t>Session open</w:t>
            </w:r>
          </w:p>
        </w:tc>
        <w:tc>
          <w:tcPr>
            <w:tcW w:type="dxa" w:w="2160"/>
          </w:tcPr>
          <w:p>
            <w:r>
              <w:t>+30 min</w:t>
            </w:r>
          </w:p>
        </w:tc>
        <w:tc>
          <w:tcPr>
            <w:tcW w:type="dxa" w:w="2160"/>
          </w:tcPr>
          <w:p>
            <w:r>
              <w:t>First 30 min of chosen session</w:t>
            </w:r>
          </w:p>
        </w:tc>
      </w:tr>
    </w:tbl>
    <w:p>
      <w:r>
        <w:rPr>
          <w:b w:val="0"/>
          <w:i/>
          <w:sz w:val="18"/>
        </w:rPr>
        <w:t>DST Rule: System must check DST status of exchange timezone at runtime and adjust UTC offsets accordingly. Hard-coded UTC times without DST adjustment are NOT acceptable.</w:t>
      </w:r>
    </w:p>
    <w:p/>
    <w:p>
      <w:pPr>
        <w:pStyle w:val="Heading2"/>
      </w:pPr>
      <w:r>
        <w:t>§0.9  Indicator Caching &amp; Computation Order</w:t>
      </w:r>
    </w:p>
    <w:p>
      <w:r>
        <w:rPr>
          <w:b/>
          <w:i w:val="0"/>
          <w:sz w:val="20"/>
        </w:rPr>
        <w:t>Performance rule: All indicators are computed ONCE per bar and cached. No strategy detector recomputes an indicator independently.</w:t>
      </w:r>
    </w:p>
    <w:p>
      <w:pPr>
        <w:pStyle w:val="NoSpacing"/>
        <w:shd w:val="clear" w:color="auto" w:fill="F0F0F0"/>
      </w:pPr>
      <w:r>
        <w:rPr>
          <w:rFonts w:ascii="Courier New" w:hAnsi="Courier New"/>
          <w:color w:val="202020"/>
          <w:sz w:val="18"/>
        </w:rPr>
        <w:t>Per-bar computation order:</w:t>
      </w:r>
    </w:p>
    <w:p>
      <w:pPr>
        <w:pStyle w:val="NoSpacing"/>
        <w:shd w:val="clear" w:color="auto" w:fill="F0F0F0"/>
      </w:pPr>
      <w:r>
        <w:rPr>
          <w:rFonts w:ascii="Courier New" w:hAnsi="Courier New"/>
          <w:color w:val="202020"/>
          <w:sz w:val="18"/>
        </w:rPr>
        <w:t xml:space="preserve">  1. Candle anatomy (body, wicks, total_range)</w:t>
      </w:r>
    </w:p>
    <w:p>
      <w:pPr>
        <w:pStyle w:val="NoSpacing"/>
        <w:shd w:val="clear" w:color="auto" w:fill="F0F0F0"/>
      </w:pPr>
      <w:r>
        <w:rPr>
          <w:rFonts w:ascii="Courier New" w:hAnsi="Courier New"/>
          <w:color w:val="202020"/>
          <w:sz w:val="18"/>
        </w:rPr>
        <w:t xml:space="preserve">  2. ATR(14)  →  cache["atr"]</w:t>
      </w:r>
    </w:p>
    <w:p>
      <w:pPr>
        <w:pStyle w:val="NoSpacing"/>
        <w:shd w:val="clear" w:color="auto" w:fill="F0F0F0"/>
      </w:pPr>
      <w:r>
        <w:rPr>
          <w:rFonts w:ascii="Courier New" w:hAnsi="Courier New"/>
          <w:color w:val="202020"/>
          <w:sz w:val="18"/>
        </w:rPr>
        <w:t xml:space="preserve">  3. EMA(20), EMA(50), EMA(200)  →  cache["ema20"], etc.</w:t>
      </w:r>
    </w:p>
    <w:p>
      <w:pPr>
        <w:pStyle w:val="NoSpacing"/>
        <w:shd w:val="clear" w:color="auto" w:fill="F0F0F0"/>
      </w:pPr>
      <w:r>
        <w:rPr>
          <w:rFonts w:ascii="Courier New" w:hAnsi="Courier New"/>
          <w:color w:val="202020"/>
          <w:sz w:val="18"/>
        </w:rPr>
        <w:t xml:space="preserve">  4. ADX(14)  →  cache["adx"]</w:t>
      </w:r>
    </w:p>
    <w:p>
      <w:pPr>
        <w:pStyle w:val="NoSpacing"/>
        <w:shd w:val="clear" w:color="auto" w:fill="F0F0F0"/>
      </w:pPr>
      <w:r>
        <w:rPr>
          <w:rFonts w:ascii="Courier New" w:hAnsi="Courier New"/>
          <w:color w:val="202020"/>
          <w:sz w:val="18"/>
        </w:rPr>
        <w:t xml:space="preserve">  5. BB(20, 2.0)  →  cache["bb_upper"], cache["bb_mid"], cache["bb_lower"]</w:t>
      </w:r>
    </w:p>
    <w:p>
      <w:pPr>
        <w:pStyle w:val="NoSpacing"/>
        <w:shd w:val="clear" w:color="auto" w:fill="F0F0F0"/>
      </w:pPr>
      <w:r>
        <w:rPr>
          <w:rFonts w:ascii="Courier New" w:hAnsi="Courier New"/>
          <w:color w:val="202020"/>
          <w:sz w:val="18"/>
        </w:rPr>
        <w:t xml:space="preserve">  6. RSI(14)  →  cache["rsi"]</w:t>
      </w:r>
    </w:p>
    <w:p>
      <w:pPr>
        <w:pStyle w:val="NoSpacing"/>
        <w:shd w:val="clear" w:color="auto" w:fill="F0F0F0"/>
      </w:pPr>
      <w:r>
        <w:rPr>
          <w:rFonts w:ascii="Courier New" w:hAnsi="Courier New"/>
          <w:color w:val="202020"/>
          <w:sz w:val="18"/>
        </w:rPr>
        <w:t xml:space="preserve">  7. Volume MA(20)  →  cache["vol_ma"]</w:t>
      </w:r>
    </w:p>
    <w:p>
      <w:pPr>
        <w:pStyle w:val="NoSpacing"/>
        <w:shd w:val="clear" w:color="auto" w:fill="F0F0F0"/>
      </w:pPr>
      <w:r>
        <w:rPr>
          <w:rFonts w:ascii="Courier New" w:hAnsi="Courier New"/>
          <w:color w:val="202020"/>
          <w:sz w:val="18"/>
        </w:rPr>
        <w:t xml:space="preserve">  8. REGIME_SWITCH reads cache → outputs current_regime</w:t>
      </w:r>
    </w:p>
    <w:p>
      <w:pPr>
        <w:pStyle w:val="NoSpacing"/>
        <w:shd w:val="clear" w:color="auto" w:fill="F0F0F0"/>
      </w:pPr>
      <w:r>
        <w:rPr>
          <w:rFonts w:ascii="Courier New" w:hAnsi="Courier New"/>
          <w:color w:val="202020"/>
          <w:sz w:val="18"/>
        </w:rPr>
        <w:t xml:space="preserve">  9. All strategy detectors read cache + current_regime → output signals</w:t>
      </w:r>
    </w:p>
    <w:p>
      <w:pPr>
        <w:pStyle w:val="NoSpacing"/>
        <w:shd w:val="clear" w:color="auto" w:fill="F0F0F0"/>
      </w:pPr>
      <w:r>
        <w:rPr>
          <w:rFonts w:ascii="Courier New" w:hAnsi="Courier New"/>
          <w:color w:val="202020"/>
          <w:sz w:val="18"/>
        </w:rPr>
        <w:t xml:space="preserve"> 10. CONFLICT_RESOLVER processes all signals → final output</w:t>
      </w:r>
    </w:p>
    <w:p/>
    <w:p>
      <w:pPr>
        <w:pStyle w:val="Heading2"/>
      </w:pPr>
      <w:r>
        <w:t>§0.10  Fibonacci Reference Leg Rule</w:t>
      </w:r>
    </w:p>
    <w:p>
      <w:r>
        <w:rPr>
          <w:b w:val="0"/>
          <w:i w:val="0"/>
          <w:sz w:val="20"/>
        </w:rPr>
        <w:t>When any strategy references Fibonacci retracement levels (e.g. 23.6%–78.6% pullback depth), the reference leg is defined as:</w:t>
      </w:r>
    </w:p>
    <w:p>
      <w:pPr>
        <w:pStyle w:val="NoSpacing"/>
        <w:shd w:val="clear" w:color="auto" w:fill="F0F0F0"/>
      </w:pPr>
      <w:r>
        <w:rPr>
          <w:rFonts w:ascii="Courier New" w:hAnsi="Courier New"/>
          <w:color w:val="202020"/>
          <w:sz w:val="18"/>
        </w:rPr>
        <w:t>Reference leg = the most recently COMPLETED impulse leg in the trend direction.</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Definition of "completed impulse leg":</w:t>
      </w:r>
    </w:p>
    <w:p>
      <w:pPr>
        <w:pStyle w:val="NoSpacing"/>
        <w:shd w:val="clear" w:color="auto" w:fill="F0F0F0"/>
      </w:pPr>
      <w:r>
        <w:rPr>
          <w:rFonts w:ascii="Courier New" w:hAnsi="Courier New"/>
          <w:color w:val="202020"/>
          <w:sz w:val="18"/>
        </w:rPr>
        <w:t xml:space="preserve">  - A directional move of ≥ 1.5 × ATR(14) from swing low to swing high (bullish)</w:t>
      </w:r>
    </w:p>
    <w:p>
      <w:pPr>
        <w:pStyle w:val="NoSpacing"/>
        <w:shd w:val="clear" w:color="auto" w:fill="F0F0F0"/>
      </w:pPr>
      <w:r>
        <w:rPr>
          <w:rFonts w:ascii="Courier New" w:hAnsi="Courier New"/>
          <w:color w:val="202020"/>
          <w:sz w:val="18"/>
        </w:rPr>
        <w:t xml:space="preserve">    or swing high to swing low (bearish)</w:t>
      </w:r>
    </w:p>
    <w:p>
      <w:pPr>
        <w:pStyle w:val="NoSpacing"/>
        <w:shd w:val="clear" w:color="auto" w:fill="F0F0F0"/>
      </w:pPr>
      <w:r>
        <w:rPr>
          <w:rFonts w:ascii="Courier New" w:hAnsi="Courier New"/>
          <w:color w:val="202020"/>
          <w:sz w:val="18"/>
        </w:rPr>
        <w:t xml:space="preserve">  - Followed by at least 3 bars of counter-directional or sideways price action</w:t>
      </w:r>
    </w:p>
    <w:p>
      <w:pPr>
        <w:pStyle w:val="NoSpacing"/>
        <w:shd w:val="clear" w:color="auto" w:fill="F0F0F0"/>
      </w:pPr>
      <w:r>
        <w:rPr>
          <w:rFonts w:ascii="Courier New" w:hAnsi="Courier New"/>
          <w:color w:val="202020"/>
          <w:sz w:val="18"/>
        </w:rPr>
        <w:t xml:space="preserve">  - The leg endpoint is the extreme price of that move (highest high / lowest low)</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If multiple completed legs exist: use the MOST RECENT one only.</w:t>
      </w:r>
    </w:p>
    <w:p>
      <w:pPr>
        <w:pStyle w:val="NoSpacing"/>
        <w:shd w:val="clear" w:color="auto" w:fill="F0F0F0"/>
      </w:pPr>
      <w:r>
        <w:rPr>
          <w:rFonts w:ascii="Courier New" w:hAnsi="Courier New"/>
          <w:color w:val="202020"/>
          <w:sz w:val="18"/>
        </w:rPr>
        <w:t>If no completed leg exists: Fibonacci filter is SKIPPED (treated as optional pass).</w:t>
      </w:r>
    </w:p>
    <w:p>
      <w:r>
        <w:br w:type="page"/>
      </w:r>
    </w:p>
    <w:p>
      <w:pPr>
        <w:pStyle w:val="Heading1"/>
      </w:pPr>
      <w:r>
        <w:t>§1  REGIME_SWITCH — Market Classifier</w:t>
      </w:r>
    </w:p>
    <w:p>
      <w:r>
        <w:rPr>
          <w:b/>
          <w:i w:val="0"/>
          <w:sz w:val="20"/>
        </w:rPr>
        <w:t>REGIME_SWITCH is not a trading strategy. It is a prerequisite classifier that runs FIRST on every bar before any strategy detector is evaluated. Its output (current_regime) gates which strategies are permitted to generate signals.</w:t>
      </w:r>
    </w:p>
    <w:p>
      <w:pPr>
        <w:pStyle w:val="Heading2"/>
      </w:pPr>
      <w:r>
        <w:t>§1.1  Classification Logic</w:t>
      </w:r>
    </w:p>
    <w:p>
      <w:pPr>
        <w:pStyle w:val="NoSpacing"/>
        <w:shd w:val="clear" w:color="auto" w:fill="F0F0F0"/>
      </w:pPr>
      <w:r>
        <w:rPr>
          <w:rFonts w:ascii="Courier New" w:hAnsi="Courier New"/>
          <w:color w:val="202020"/>
          <w:sz w:val="18"/>
        </w:rPr>
        <w:t>Inputs: ADX(14), EMA(20) slope, BB width, ATR ratio</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ema_slope    = (EMA20[0] - EMA20[5]) / EMA20[5]   # 5-bar slope %</w:t>
      </w:r>
    </w:p>
    <w:p>
      <w:pPr>
        <w:pStyle w:val="NoSpacing"/>
        <w:shd w:val="clear" w:color="auto" w:fill="F0F0F0"/>
      </w:pPr>
      <w:r>
        <w:rPr>
          <w:rFonts w:ascii="Courier New" w:hAnsi="Courier New"/>
          <w:color w:val="202020"/>
          <w:sz w:val="18"/>
        </w:rPr>
        <w:t>bb_width     = (BB_upper - BB_lower) / BB_mid</w:t>
      </w:r>
    </w:p>
    <w:p>
      <w:pPr>
        <w:pStyle w:val="NoSpacing"/>
        <w:shd w:val="clear" w:color="auto" w:fill="F0F0F0"/>
      </w:pPr>
      <w:r>
        <w:rPr>
          <w:rFonts w:ascii="Courier New" w:hAnsi="Courier New"/>
          <w:color w:val="202020"/>
          <w:sz w:val="18"/>
        </w:rPr>
        <w:t>atr_ratio    = ATR[0] / mean(ATR, 20)</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Classification (evaluated in priority order):</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 xml:space="preserve">  if atr_ratio &gt; 2.0:</w:t>
      </w:r>
    </w:p>
    <w:p>
      <w:pPr>
        <w:pStyle w:val="NoSpacing"/>
        <w:shd w:val="clear" w:color="auto" w:fill="F0F0F0"/>
      </w:pPr>
      <w:r>
        <w:rPr>
          <w:rFonts w:ascii="Courier New" w:hAnsi="Courier New"/>
          <w:color w:val="202020"/>
          <w:sz w:val="18"/>
        </w:rPr>
        <w:t xml:space="preserve">      regime = HIGH_VOLATILITY   # checked first — overrides all others</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 xml:space="preserve">  elif ADX &gt; 25 AND abs(ema_slope) &gt; 0.001:</w:t>
      </w:r>
    </w:p>
    <w:p>
      <w:pPr>
        <w:pStyle w:val="NoSpacing"/>
        <w:shd w:val="clear" w:color="auto" w:fill="F0F0F0"/>
      </w:pPr>
      <w:r>
        <w:rPr>
          <w:rFonts w:ascii="Courier New" w:hAnsi="Courier New"/>
          <w:color w:val="202020"/>
          <w:sz w:val="18"/>
        </w:rPr>
        <w:t xml:space="preserve">      regime = STRONG_TREND</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 xml:space="preserve">  elif ADX &gt;= 18:</w:t>
      </w:r>
    </w:p>
    <w:p>
      <w:pPr>
        <w:pStyle w:val="NoSpacing"/>
        <w:shd w:val="clear" w:color="auto" w:fill="F0F0F0"/>
      </w:pPr>
      <w:r>
        <w:rPr>
          <w:rFonts w:ascii="Courier New" w:hAnsi="Courier New"/>
          <w:color w:val="202020"/>
          <w:sz w:val="18"/>
        </w:rPr>
        <w:t xml:space="preserve">      regime = WEAK_TREND</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 xml:space="preserve">  else:   # ADX &lt; 18</w:t>
      </w:r>
    </w:p>
    <w:p>
      <w:pPr>
        <w:pStyle w:val="NoSpacing"/>
        <w:shd w:val="clear" w:color="auto" w:fill="F0F0F0"/>
      </w:pPr>
      <w:r>
        <w:rPr>
          <w:rFonts w:ascii="Courier New" w:hAnsi="Courier New"/>
          <w:color w:val="202020"/>
          <w:sz w:val="18"/>
        </w:rPr>
        <w:t xml:space="preserve">      regime = RANGE</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 xml:space="preserve">  # Apply hysteresis (see §0.6) — only update if exit threshold crossed</w:t>
      </w:r>
    </w:p>
    <w:p>
      <w:pPr>
        <w:pStyle w:val="Heading2"/>
      </w:pPr>
      <w:r>
        <w:t>§1.2  Strategy Activation Matrix</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Strategy</w:t>
            </w:r>
          </w:p>
        </w:tc>
        <w:tc>
          <w:tcPr>
            <w:tcW w:type="dxa" w:w="1440"/>
          </w:tcPr>
          <w:p>
            <w:r>
              <w:rPr>
                <w:b/>
              </w:rPr>
              <w:t>STRONG_TREND</w:t>
            </w:r>
          </w:p>
        </w:tc>
        <w:tc>
          <w:tcPr>
            <w:tcW w:type="dxa" w:w="1440"/>
          </w:tcPr>
          <w:p>
            <w:r>
              <w:rPr>
                <w:b/>
              </w:rPr>
              <w:t>WEAK_TREND</w:t>
            </w:r>
          </w:p>
        </w:tc>
        <w:tc>
          <w:tcPr>
            <w:tcW w:type="dxa" w:w="1440"/>
          </w:tcPr>
          <w:p>
            <w:r>
              <w:rPr>
                <w:b/>
              </w:rPr>
              <w:t>RANGE</w:t>
            </w:r>
          </w:p>
        </w:tc>
        <w:tc>
          <w:tcPr>
            <w:tcW w:type="dxa" w:w="1440"/>
          </w:tcPr>
          <w:p>
            <w:r>
              <w:rPr>
                <w:b/>
              </w:rPr>
              <w:t>HIGH_VOL</w:t>
            </w:r>
          </w:p>
        </w:tc>
        <w:tc>
          <w:tcPr>
            <w:tcW w:type="dxa" w:w="1440"/>
          </w:tcPr>
          <w:p>
            <w:r>
              <w:rPr>
                <w:b/>
              </w:rPr>
              <w:t>Notes</w:t>
            </w:r>
          </w:p>
        </w:tc>
      </w:tr>
      <w:tr>
        <w:tc>
          <w:tcPr>
            <w:tcW w:type="dxa" w:w="1440"/>
          </w:tcPr>
          <w:p>
            <w:r>
              <w:t>TREND_PULLBACK</w:t>
            </w:r>
          </w:p>
        </w:tc>
        <w:tc>
          <w:tcPr>
            <w:tcW w:type="dxa" w:w="1440"/>
          </w:tcPr>
          <w:p>
            <w:r>
              <w:t>✅ PRIMARY</w:t>
            </w:r>
          </w:p>
        </w:tc>
        <w:tc>
          <w:tcPr>
            <w:tcW w:type="dxa" w:w="1440"/>
          </w:tcPr>
          <w:p>
            <w:r>
              <w:t>✅ SECONDARY</w:t>
            </w:r>
          </w:p>
        </w:tc>
        <w:tc>
          <w:tcPr>
            <w:tcW w:type="dxa" w:w="1440"/>
          </w:tcPr>
          <w:p>
            <w:r>
              <w:t>❌ OFF</w:t>
            </w:r>
          </w:p>
        </w:tc>
        <w:tc>
          <w:tcPr>
            <w:tcW w:type="dxa" w:w="1440"/>
          </w:tcPr>
          <w:p>
            <w:r>
              <w:t>❌ OFF</w:t>
            </w:r>
          </w:p>
        </w:tc>
        <w:tc>
          <w:tcPr>
            <w:tcW w:type="dxa" w:w="1440"/>
          </w:tcPr>
          <w:p>
            <w:r>
              <w:t>Core trend strategy</w:t>
            </w:r>
          </w:p>
        </w:tc>
      </w:tr>
      <w:tr>
        <w:tc>
          <w:tcPr>
            <w:tcW w:type="dxa" w:w="1440"/>
          </w:tcPr>
          <w:p>
            <w:r>
              <w:t>BREAKOUT</w:t>
            </w:r>
          </w:p>
        </w:tc>
        <w:tc>
          <w:tcPr>
            <w:tcW w:type="dxa" w:w="1440"/>
          </w:tcPr>
          <w:p>
            <w:r>
              <w:t>✅</w:t>
            </w:r>
          </w:p>
        </w:tc>
        <w:tc>
          <w:tcPr>
            <w:tcW w:type="dxa" w:w="1440"/>
          </w:tcPr>
          <w:p>
            <w:r>
              <w:t>✅</w:t>
            </w:r>
          </w:p>
        </w:tc>
        <w:tc>
          <w:tcPr>
            <w:tcW w:type="dxa" w:w="1440"/>
          </w:tcPr>
          <w:p>
            <w:r>
              <w:t>✅</w:t>
            </w:r>
          </w:p>
        </w:tc>
        <w:tc>
          <w:tcPr>
            <w:tcW w:type="dxa" w:w="1440"/>
          </w:tcPr>
          <w:p>
            <w:r>
              <w:t>❌ OFF</w:t>
            </w:r>
          </w:p>
        </w:tc>
        <w:tc>
          <w:tcPr>
            <w:tcW w:type="dxa" w:w="1440"/>
          </w:tcPr>
          <w:p>
            <w:r>
              <w:t>Off in HIGH_VOL — false breaks</w:t>
            </w:r>
          </w:p>
        </w:tc>
      </w:tr>
      <w:tr>
        <w:tc>
          <w:tcPr>
            <w:tcW w:type="dxa" w:w="1440"/>
          </w:tcPr>
          <w:p>
            <w:r>
              <w:t>RANGE_REVERSION</w:t>
            </w:r>
          </w:p>
        </w:tc>
        <w:tc>
          <w:tcPr>
            <w:tcW w:type="dxa" w:w="1440"/>
          </w:tcPr>
          <w:p>
            <w:r>
              <w:t>❌ OFF</w:t>
            </w:r>
          </w:p>
        </w:tc>
        <w:tc>
          <w:tcPr>
            <w:tcW w:type="dxa" w:w="1440"/>
          </w:tcPr>
          <w:p>
            <w:r>
              <w:t>⚠️ CAUTION</w:t>
            </w:r>
          </w:p>
        </w:tc>
        <w:tc>
          <w:tcPr>
            <w:tcW w:type="dxa" w:w="1440"/>
          </w:tcPr>
          <w:p>
            <w:r>
              <w:t>✅ PRIMARY</w:t>
            </w:r>
          </w:p>
        </w:tc>
        <w:tc>
          <w:tcPr>
            <w:tcW w:type="dxa" w:w="1440"/>
          </w:tcPr>
          <w:p>
            <w:r>
              <w:t>❌ OFF</w:t>
            </w:r>
          </w:p>
        </w:tc>
        <w:tc>
          <w:tcPr>
            <w:tcW w:type="dxa" w:w="1440"/>
          </w:tcPr>
          <w:p>
            <w:r>
              <w:t>Caution = halved position</w:t>
            </w:r>
          </w:p>
        </w:tc>
      </w:tr>
      <w:tr>
        <w:tc>
          <w:tcPr>
            <w:tcW w:type="dxa" w:w="1440"/>
          </w:tcPr>
          <w:p>
            <w:r>
              <w:t>MEAN_REVERT_BAND</w:t>
            </w:r>
          </w:p>
        </w:tc>
        <w:tc>
          <w:tcPr>
            <w:tcW w:type="dxa" w:w="1440"/>
          </w:tcPr>
          <w:p>
            <w:r>
              <w:t>❌ OFF</w:t>
            </w:r>
          </w:p>
        </w:tc>
        <w:tc>
          <w:tcPr>
            <w:tcW w:type="dxa" w:w="1440"/>
          </w:tcPr>
          <w:p>
            <w:r>
              <w:t>✅</w:t>
            </w:r>
          </w:p>
        </w:tc>
        <w:tc>
          <w:tcPr>
            <w:tcW w:type="dxa" w:w="1440"/>
          </w:tcPr>
          <w:p>
            <w:r>
              <w:t>✅ PRIMARY</w:t>
            </w:r>
          </w:p>
        </w:tc>
        <w:tc>
          <w:tcPr>
            <w:tcW w:type="dxa" w:w="1440"/>
          </w:tcPr>
          <w:p>
            <w:r>
              <w:t>❌ OFF</w:t>
            </w:r>
          </w:p>
        </w:tc>
        <w:tc>
          <w:tcPr>
            <w:tcW w:type="dxa" w:w="1440"/>
          </w:tcPr>
          <w:p>
            <w:r/>
          </w:p>
        </w:tc>
      </w:tr>
      <w:tr>
        <w:tc>
          <w:tcPr>
            <w:tcW w:type="dxa" w:w="1440"/>
          </w:tcPr>
          <w:p>
            <w:r>
              <w:t>VOL_COMPRESS_BREAK</w:t>
            </w:r>
          </w:p>
        </w:tc>
        <w:tc>
          <w:tcPr>
            <w:tcW w:type="dxa" w:w="1440"/>
          </w:tcPr>
          <w:p>
            <w:r>
              <w:t>✅</w:t>
            </w:r>
          </w:p>
        </w:tc>
        <w:tc>
          <w:tcPr>
            <w:tcW w:type="dxa" w:w="1440"/>
          </w:tcPr>
          <w:p>
            <w:r>
              <w:t>✅</w:t>
            </w:r>
          </w:p>
        </w:tc>
        <w:tc>
          <w:tcPr>
            <w:tcW w:type="dxa" w:w="1440"/>
          </w:tcPr>
          <w:p>
            <w:r>
              <w:t>✅</w:t>
            </w:r>
          </w:p>
        </w:tc>
        <w:tc>
          <w:tcPr>
            <w:tcW w:type="dxa" w:w="1440"/>
          </w:tcPr>
          <w:p>
            <w:r>
              <w:t>❌ OFF</w:t>
            </w:r>
          </w:p>
        </w:tc>
        <w:tc>
          <w:tcPr>
            <w:tcW w:type="dxa" w:w="1440"/>
          </w:tcPr>
          <w:p>
            <w:r>
              <w:t>Regime-agnostic</w:t>
            </w:r>
          </w:p>
        </w:tc>
      </w:tr>
      <w:tr>
        <w:tc>
          <w:tcPr>
            <w:tcW w:type="dxa" w:w="1440"/>
          </w:tcPr>
          <w:p>
            <w:r>
              <w:t>ORB</w:t>
            </w:r>
          </w:p>
        </w:tc>
        <w:tc>
          <w:tcPr>
            <w:tcW w:type="dxa" w:w="1440"/>
          </w:tcPr>
          <w:p>
            <w:r>
              <w:t>✅</w:t>
            </w:r>
          </w:p>
        </w:tc>
        <w:tc>
          <w:tcPr>
            <w:tcW w:type="dxa" w:w="1440"/>
          </w:tcPr>
          <w:p>
            <w:r>
              <w:t>✅</w:t>
            </w:r>
          </w:p>
        </w:tc>
        <w:tc>
          <w:tcPr>
            <w:tcW w:type="dxa" w:w="1440"/>
          </w:tcPr>
          <w:p>
            <w:r>
              <w:t>⚠️ CAUTION</w:t>
            </w:r>
          </w:p>
        </w:tc>
        <w:tc>
          <w:tcPr>
            <w:tcW w:type="dxa" w:w="1440"/>
          </w:tcPr>
          <w:p>
            <w:r>
              <w:t>❌ OFF</w:t>
            </w:r>
          </w:p>
        </w:tc>
        <w:tc>
          <w:tcPr>
            <w:tcW w:type="dxa" w:w="1440"/>
          </w:tcPr>
          <w:p>
            <w:r>
              <w:t>Weaker in range</w:t>
            </w:r>
          </w:p>
        </w:tc>
      </w:tr>
      <w:tr>
        <w:tc>
          <w:tcPr>
            <w:tcW w:type="dxa" w:w="1440"/>
          </w:tcPr>
          <w:p>
            <w:r>
              <w:t>MOMENTUM_CONT</w:t>
            </w:r>
          </w:p>
        </w:tc>
        <w:tc>
          <w:tcPr>
            <w:tcW w:type="dxa" w:w="1440"/>
          </w:tcPr>
          <w:p>
            <w:r>
              <w:t>✅ PRIMARY</w:t>
            </w:r>
          </w:p>
        </w:tc>
        <w:tc>
          <w:tcPr>
            <w:tcW w:type="dxa" w:w="1440"/>
          </w:tcPr>
          <w:p>
            <w:r>
              <w:t>⚠️ CAUTION</w:t>
            </w:r>
          </w:p>
        </w:tc>
        <w:tc>
          <w:tcPr>
            <w:tcW w:type="dxa" w:w="1440"/>
          </w:tcPr>
          <w:p>
            <w:r>
              <w:t>❌ OFF</w:t>
            </w:r>
          </w:p>
        </w:tc>
        <w:tc>
          <w:tcPr>
            <w:tcW w:type="dxa" w:w="1440"/>
          </w:tcPr>
          <w:p>
            <w:r>
              <w:t>❌ OFF</w:t>
            </w:r>
          </w:p>
        </w:tc>
        <w:tc>
          <w:tcPr>
            <w:tcW w:type="dxa" w:w="1440"/>
          </w:tcPr>
          <w:p>
            <w:r>
              <w:t>Trend-only</w:t>
            </w:r>
          </w:p>
        </w:tc>
      </w:tr>
    </w:tbl>
    <w:p>
      <w:pPr>
        <w:pStyle w:val="Heading2"/>
      </w:pPr>
      <w:r>
        <w:t>§1.3  Output Schema</w:t>
      </w:r>
    </w:p>
    <w:p>
      <w:pPr>
        <w:pStyle w:val="NoSpacing"/>
        <w:shd w:val="clear" w:color="auto" w:fill="F0F0F0"/>
      </w:pPr>
      <w:r>
        <w:rPr>
          <w:rFonts w:ascii="Courier New" w:hAnsi="Courier New"/>
          <w:color w:val="202020"/>
          <w:sz w:val="18"/>
        </w:rPr>
        <w:t>{</w:t>
      </w:r>
    </w:p>
    <w:p>
      <w:pPr>
        <w:pStyle w:val="NoSpacing"/>
        <w:shd w:val="clear" w:color="auto" w:fill="F0F0F0"/>
      </w:pPr>
      <w:r>
        <w:rPr>
          <w:rFonts w:ascii="Courier New" w:hAnsi="Courier New"/>
          <w:color w:val="202020"/>
          <w:sz w:val="18"/>
        </w:rPr>
        <w:t xml:space="preserve">  "regime": "STRONG_TREND" | "WEAK_TREND" | "RANGE" | "HIGH_VOLATILITY",</w:t>
      </w:r>
    </w:p>
    <w:p>
      <w:pPr>
        <w:pStyle w:val="NoSpacing"/>
        <w:shd w:val="clear" w:color="auto" w:fill="F0F0F0"/>
      </w:pPr>
      <w:r>
        <w:rPr>
          <w:rFonts w:ascii="Courier New" w:hAnsi="Courier New"/>
          <w:color w:val="202020"/>
          <w:sz w:val="18"/>
        </w:rPr>
        <w:t xml:space="preserve">  "adx": float,</w:t>
      </w:r>
    </w:p>
    <w:p>
      <w:pPr>
        <w:pStyle w:val="NoSpacing"/>
        <w:shd w:val="clear" w:color="auto" w:fill="F0F0F0"/>
      </w:pPr>
      <w:r>
        <w:rPr>
          <w:rFonts w:ascii="Courier New" w:hAnsi="Courier New"/>
          <w:color w:val="202020"/>
          <w:sz w:val="18"/>
        </w:rPr>
        <w:t xml:space="preserve">  "ema_slope": float,</w:t>
      </w:r>
    </w:p>
    <w:p>
      <w:pPr>
        <w:pStyle w:val="NoSpacing"/>
        <w:shd w:val="clear" w:color="auto" w:fill="F0F0F0"/>
      </w:pPr>
      <w:r>
        <w:rPr>
          <w:rFonts w:ascii="Courier New" w:hAnsi="Courier New"/>
          <w:color w:val="202020"/>
          <w:sz w:val="18"/>
        </w:rPr>
        <w:t xml:space="preserve">  "bb_width": float,</w:t>
      </w:r>
    </w:p>
    <w:p>
      <w:pPr>
        <w:pStyle w:val="NoSpacing"/>
        <w:shd w:val="clear" w:color="auto" w:fill="F0F0F0"/>
      </w:pPr>
      <w:r>
        <w:rPr>
          <w:rFonts w:ascii="Courier New" w:hAnsi="Courier New"/>
          <w:color w:val="202020"/>
          <w:sz w:val="18"/>
        </w:rPr>
        <w:t xml:space="preserve">  "atr_ratio": float,</w:t>
      </w:r>
    </w:p>
    <w:p>
      <w:pPr>
        <w:pStyle w:val="NoSpacing"/>
        <w:shd w:val="clear" w:color="auto" w:fill="F0F0F0"/>
      </w:pPr>
      <w:r>
        <w:rPr>
          <w:rFonts w:ascii="Courier New" w:hAnsi="Courier New"/>
          <w:color w:val="202020"/>
          <w:sz w:val="18"/>
        </w:rPr>
        <w:t xml:space="preserve">  "active_strategies": ["TREND_PULLBACK", "BREAKOUT", ...],</w:t>
      </w:r>
    </w:p>
    <w:p>
      <w:pPr>
        <w:pStyle w:val="NoSpacing"/>
        <w:shd w:val="clear" w:color="auto" w:fill="F0F0F0"/>
      </w:pPr>
      <w:r>
        <w:rPr>
          <w:rFonts w:ascii="Courier New" w:hAnsi="Courier New"/>
          <w:color w:val="202020"/>
          <w:sz w:val="18"/>
        </w:rPr>
        <w:t xml:space="preserve">  "timestamp": ISO8601</w:t>
      </w:r>
    </w:p>
    <w:p>
      <w:pPr>
        <w:pStyle w:val="NoSpacing"/>
        <w:shd w:val="clear" w:color="auto" w:fill="F0F0F0"/>
      </w:pPr>
      <w:r>
        <w:rPr>
          <w:rFonts w:ascii="Courier New" w:hAnsi="Courier New"/>
          <w:color w:val="202020"/>
          <w:sz w:val="18"/>
        </w:rPr>
        <w:t>}</w:t>
      </w:r>
    </w:p>
    <w:p>
      <w:r>
        <w:br w:type="page"/>
      </w:r>
    </w:p>
    <w:p>
      <w:pPr>
        <w:pStyle w:val="Heading1"/>
      </w:pPr>
      <w:r>
        <w:t>§2  TREND_PULLBACK — Strategy Detector</w:t>
      </w:r>
    </w:p>
    <w:p>
      <w:pPr>
        <w:pStyle w:val="Heading2"/>
      </w:pPr>
      <w:r>
        <w:t>§2.1  Overview</w:t>
      </w:r>
    </w:p>
    <w:p>
      <w:r>
        <w:rPr>
          <w:b w:val="0"/>
          <w:i w:val="0"/>
          <w:sz w:val="20"/>
        </w:rPr>
        <w:t>Enters in the direction of the primary trend after a counter-trend pullback to a key EMA zone, confirmed by a rejection candle. Highest-probability setup in trending markets.</w:t>
      </w:r>
    </w:p>
    <w:p>
      <w:pPr>
        <w:pStyle w:val="Heading2"/>
      </w:pPr>
      <w:r>
        <w:t>§2.2  Regime Gate</w:t>
      </w:r>
    </w:p>
    <w:p>
      <w:pPr>
        <w:pStyle w:val="NoSpacing"/>
        <w:shd w:val="clear" w:color="auto" w:fill="F0F0F0"/>
      </w:pPr>
      <w:r>
        <w:rPr>
          <w:rFonts w:ascii="Courier New" w:hAnsi="Courier New"/>
          <w:color w:val="202020"/>
          <w:sz w:val="18"/>
        </w:rPr>
        <w:t>Active in: STRONG_TREND (primary), WEAK_TREND (secondary — reduced size)</w:t>
      </w:r>
    </w:p>
    <w:p>
      <w:pPr>
        <w:pStyle w:val="NoSpacing"/>
        <w:shd w:val="clear" w:color="auto" w:fill="F0F0F0"/>
      </w:pPr>
      <w:r>
        <w:rPr>
          <w:rFonts w:ascii="Courier New" w:hAnsi="Courier New"/>
          <w:color w:val="202020"/>
          <w:sz w:val="18"/>
        </w:rPr>
        <w:t>Inactive in: RANGE, HIGH_VOLATILITY</w:t>
      </w:r>
    </w:p>
    <w:p>
      <w:pPr>
        <w:pStyle w:val="Heading2"/>
      </w:pPr>
      <w:r>
        <w:t>§2.3  Entry Rules</w:t>
      </w:r>
    </w:p>
    <w:p>
      <w:r>
        <w:rPr>
          <w:b/>
          <w:i w:val="0"/>
          <w:sz w:val="20"/>
        </w:rPr>
        <w:t>MANDATORY rules (any fail → confidence = 0.0):</w:t>
      </w:r>
    </w:p>
    <w:p>
      <w:pPr>
        <w:pStyle w:val="NoSpacing"/>
        <w:shd w:val="clear" w:color="auto" w:fill="F0F0F0"/>
      </w:pPr>
      <w:r>
        <w:rPr>
          <w:rFonts w:ascii="Courier New" w:hAnsi="Courier New"/>
          <w:color w:val="202020"/>
          <w:sz w:val="18"/>
        </w:rPr>
        <w:t>M1. TREND CONFIRMED:</w:t>
      </w:r>
    </w:p>
    <w:p>
      <w:pPr>
        <w:pStyle w:val="NoSpacing"/>
        <w:shd w:val="clear" w:color="auto" w:fill="F0F0F0"/>
      </w:pPr>
      <w:r>
        <w:rPr>
          <w:rFonts w:ascii="Courier New" w:hAnsi="Courier New"/>
          <w:color w:val="202020"/>
          <w:sz w:val="18"/>
        </w:rPr>
        <w:t xml:space="preserve">    Bullish: EMA20 &gt; EMA50 &gt; EMA200 AND close &gt; EMA200</w:t>
      </w:r>
    </w:p>
    <w:p>
      <w:pPr>
        <w:pStyle w:val="NoSpacing"/>
        <w:shd w:val="clear" w:color="auto" w:fill="F0F0F0"/>
      </w:pPr>
      <w:r>
        <w:rPr>
          <w:rFonts w:ascii="Courier New" w:hAnsi="Courier New"/>
          <w:color w:val="202020"/>
          <w:sz w:val="18"/>
        </w:rPr>
        <w:t xml:space="preserve">    Bearish: EMA20 &lt; EMA50 &lt; EMA200 AND close &lt; EMA200</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M2. EMA ZONE HIT:</w:t>
      </w:r>
    </w:p>
    <w:p>
      <w:pPr>
        <w:pStyle w:val="NoSpacing"/>
        <w:shd w:val="clear" w:color="auto" w:fill="F0F0F0"/>
      </w:pPr>
      <w:r>
        <w:rPr>
          <w:rFonts w:ascii="Courier New" w:hAnsi="Courier New"/>
          <w:color w:val="202020"/>
          <w:sz w:val="18"/>
        </w:rPr>
        <w:t xml:space="preserve">    Price has touched or penetrated EMA20 or EMA50 zone</w:t>
      </w:r>
    </w:p>
    <w:p>
      <w:pPr>
        <w:pStyle w:val="NoSpacing"/>
        <w:shd w:val="clear" w:color="auto" w:fill="F0F0F0"/>
      </w:pPr>
      <w:r>
        <w:rPr>
          <w:rFonts w:ascii="Courier New" w:hAnsi="Courier New"/>
          <w:color w:val="202020"/>
          <w:sz w:val="18"/>
        </w:rPr>
        <w:t xml:space="preserve">    Zone = EMA ± 0.5 × ATR(14)</w:t>
      </w:r>
    </w:p>
    <w:p>
      <w:pPr>
        <w:pStyle w:val="NoSpacing"/>
        <w:shd w:val="clear" w:color="auto" w:fill="F0F0F0"/>
      </w:pPr>
      <w:r>
        <w:rPr>
          <w:rFonts w:ascii="Courier New" w:hAnsi="Courier New"/>
          <w:color w:val="202020"/>
          <w:sz w:val="18"/>
        </w:rPr>
        <w:t xml:space="preserve">    Condition: low &lt;= EMA50 + 0.5×ATR (bull) or high &gt;= EMA50 - 0.5×ATR (bear)</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M3. REJECTION CANDLE:</w:t>
      </w:r>
    </w:p>
    <w:p>
      <w:pPr>
        <w:pStyle w:val="NoSpacing"/>
        <w:shd w:val="clear" w:color="auto" w:fill="F0F0F0"/>
      </w:pPr>
      <w:r>
        <w:rPr>
          <w:rFonts w:ascii="Courier New" w:hAnsi="Courier New"/>
          <w:color w:val="202020"/>
          <w:sz w:val="18"/>
        </w:rPr>
        <w:t xml:space="preserve">    Bullish rejection candle OR bullish engulfing (see §0.3)</w:t>
      </w:r>
    </w:p>
    <w:p>
      <w:pPr>
        <w:pStyle w:val="NoSpacing"/>
        <w:shd w:val="clear" w:color="auto" w:fill="F0F0F0"/>
      </w:pPr>
      <w:r>
        <w:rPr>
          <w:rFonts w:ascii="Courier New" w:hAnsi="Courier New"/>
          <w:color w:val="202020"/>
          <w:sz w:val="18"/>
        </w:rPr>
        <w:t xml:space="preserve">    Bearish rejection candle OR bearish engulfing (see §0.3)</w:t>
      </w:r>
    </w:p>
    <w:p>
      <w:r>
        <w:rPr>
          <w:b/>
          <w:i w:val="0"/>
          <w:sz w:val="20"/>
        </w:rPr>
        <w:t>STRONG rules (failure reduces confidence):</w:t>
      </w:r>
    </w:p>
    <w:p>
      <w:pPr>
        <w:pStyle w:val="NoSpacing"/>
        <w:shd w:val="clear" w:color="auto" w:fill="F0F0F0"/>
      </w:pPr>
      <w:r>
        <w:rPr>
          <w:rFonts w:ascii="Courier New" w:hAnsi="Courier New"/>
          <w:color w:val="202020"/>
          <w:sz w:val="18"/>
        </w:rPr>
        <w:t>S1. ADX FILTER: ADX(14) &gt; 20</w:t>
      </w:r>
    </w:p>
    <w:p>
      <w:pPr>
        <w:pStyle w:val="NoSpacing"/>
        <w:shd w:val="clear" w:color="auto" w:fill="F0F0F0"/>
      </w:pPr>
      <w:r>
        <w:rPr>
          <w:rFonts w:ascii="Courier New" w:hAnsi="Courier New"/>
          <w:color w:val="202020"/>
          <w:sz w:val="18"/>
        </w:rPr>
        <w:t>S2. VOLUME FILTER: volume &gt; vol_threshold (see §0.7 for threshold by instrument)</w:t>
      </w:r>
    </w:p>
    <w:p>
      <w:pPr>
        <w:pStyle w:val="NoSpacing"/>
        <w:shd w:val="clear" w:color="auto" w:fill="F0F0F0"/>
      </w:pPr>
      <w:r>
        <w:rPr>
          <w:rFonts w:ascii="Courier New" w:hAnsi="Courier New"/>
          <w:color w:val="202020"/>
          <w:sz w:val="18"/>
        </w:rPr>
        <w:t>S3. FIB DEPTH: pullback depth between 23.6% and 78.6% of reference leg (see §0.10)</w:t>
      </w:r>
    </w:p>
    <w:p>
      <w:r>
        <w:rPr>
          <w:b/>
          <w:i w:val="0"/>
          <w:sz w:val="20"/>
        </w:rPr>
        <w:t>OPTIONAL rules (bonus confidence):</w:t>
      </w:r>
    </w:p>
    <w:p>
      <w:pPr>
        <w:pStyle w:val="NoSpacing"/>
        <w:shd w:val="clear" w:color="auto" w:fill="F0F0F0"/>
      </w:pPr>
      <w:r>
        <w:rPr>
          <w:rFonts w:ascii="Courier New" w:hAnsi="Courier New"/>
          <w:color w:val="202020"/>
          <w:sz w:val="18"/>
        </w:rPr>
        <w:t>O1. HIGHER TF ALIGN: Same trend direction on next higher timeframe EMA alignment</w:t>
      </w:r>
    </w:p>
    <w:p>
      <w:pPr>
        <w:pStyle w:val="NoSpacing"/>
        <w:shd w:val="clear" w:color="auto" w:fill="F0F0F0"/>
      </w:pPr>
      <w:r>
        <w:rPr>
          <w:rFonts w:ascii="Courier New" w:hAnsi="Courier New"/>
          <w:color w:val="202020"/>
          <w:sz w:val="18"/>
        </w:rPr>
        <w:t>O2. SESSION: Price action during London or NY session (see §0.8)</w:t>
      </w:r>
    </w:p>
    <w:p>
      <w:pPr>
        <w:pStyle w:val="NoSpacing"/>
        <w:shd w:val="clear" w:color="auto" w:fill="F0F0F0"/>
      </w:pPr>
      <w:r>
        <w:rPr>
          <w:rFonts w:ascii="Courier New" w:hAnsi="Courier New"/>
          <w:color w:val="202020"/>
          <w:sz w:val="18"/>
        </w:rPr>
        <w:t>O3. SPREAD: Current spread &lt; 2 × average spread</w:t>
      </w:r>
    </w:p>
    <w:p>
      <w:pPr>
        <w:pStyle w:val="Heading2"/>
      </w:pPr>
      <w:r>
        <w:t>§2.4  Confidence Scoring</w:t>
      </w:r>
    </w:p>
    <w:p>
      <w:pPr>
        <w:pStyle w:val="NoSpacing"/>
        <w:shd w:val="clear" w:color="auto" w:fill="F0F0F0"/>
      </w:pPr>
      <w:r>
        <w:rPr>
          <w:rFonts w:ascii="Courier New" w:hAnsi="Courier New"/>
          <w:color w:val="202020"/>
          <w:sz w:val="18"/>
        </w:rPr>
        <w:t>Rule weights: M1=3, M2=3, M3=3, S1=2, S2=2, S3=2, O1=1, O2=1, O3=1</w:t>
      </w:r>
    </w:p>
    <w:p>
      <w:pPr>
        <w:pStyle w:val="NoSpacing"/>
        <w:shd w:val="clear" w:color="auto" w:fill="F0F0F0"/>
      </w:pPr>
      <w:r>
        <w:rPr>
          <w:rFonts w:ascii="Courier New" w:hAnsi="Courier New"/>
          <w:color w:val="202020"/>
          <w:sz w:val="18"/>
        </w:rPr>
        <w:t>Max score = 18</w:t>
      </w:r>
    </w:p>
    <w:p>
      <w:pPr>
        <w:pStyle w:val="NoSpacing"/>
        <w:shd w:val="clear" w:color="auto" w:fill="F0F0F0"/>
      </w:pPr>
      <w:r>
        <w:rPr>
          <w:rFonts w:ascii="Courier New" w:hAnsi="Courier New"/>
          <w:color w:val="202020"/>
          <w:sz w:val="18"/>
        </w:rPr>
        <w:t>confidence = 0.0 if M1 OR M2 OR M3 fails</w:t>
      </w:r>
    </w:p>
    <w:p>
      <w:pPr>
        <w:pStyle w:val="NoSpacing"/>
        <w:shd w:val="clear" w:color="auto" w:fill="F0F0F0"/>
      </w:pPr>
      <w:r>
        <w:rPr>
          <w:rFonts w:ascii="Courier New" w:hAnsi="Courier New"/>
          <w:color w:val="202020"/>
          <w:sz w:val="18"/>
        </w:rPr>
        <w:t>confidence = earned_score / 18  (if all mandatory pass)</w:t>
      </w:r>
    </w:p>
    <w:p>
      <w:pPr>
        <w:pStyle w:val="Heading2"/>
      </w:pPr>
      <w:r>
        <w:t>§2.5  Entry &amp; Exit Parameters</w:t>
      </w:r>
    </w:p>
    <w:p>
      <w:pPr>
        <w:pStyle w:val="NoSpacing"/>
        <w:shd w:val="clear" w:color="auto" w:fill="F0F0F0"/>
      </w:pPr>
      <w:r>
        <w:rPr>
          <w:rFonts w:ascii="Courier New" w:hAnsi="Courier New"/>
          <w:color w:val="202020"/>
          <w:sz w:val="18"/>
        </w:rPr>
        <w:t>Entry:      Next bar open after signal candle closes</w:t>
      </w:r>
    </w:p>
    <w:p>
      <w:pPr>
        <w:pStyle w:val="NoSpacing"/>
        <w:shd w:val="clear" w:color="auto" w:fill="F0F0F0"/>
      </w:pPr>
      <w:r>
        <w:rPr>
          <w:rFonts w:ascii="Courier New" w:hAnsi="Courier New"/>
          <w:color w:val="202020"/>
          <w:sz w:val="18"/>
        </w:rPr>
        <w:t>Stop Loss:  Below/above signal candle low/high + 0.5 × ATR(14)</w:t>
      </w:r>
    </w:p>
    <w:p>
      <w:pPr>
        <w:pStyle w:val="NoSpacing"/>
        <w:shd w:val="clear" w:color="auto" w:fill="F0F0F0"/>
      </w:pPr>
      <w:r>
        <w:rPr>
          <w:rFonts w:ascii="Courier New" w:hAnsi="Courier New"/>
          <w:color w:val="202020"/>
          <w:sz w:val="18"/>
        </w:rPr>
        <w:t>Target 1:   Entry + 1.0 × risk (1R)  →  close 50% of position</w:t>
      </w:r>
    </w:p>
    <w:p>
      <w:pPr>
        <w:pStyle w:val="NoSpacing"/>
        <w:shd w:val="clear" w:color="auto" w:fill="F0F0F0"/>
      </w:pPr>
      <w:r>
        <w:rPr>
          <w:rFonts w:ascii="Courier New" w:hAnsi="Courier New"/>
          <w:color w:val="202020"/>
          <w:sz w:val="18"/>
        </w:rPr>
        <w:t>Target 2:   Entry + 2.0 × risk (2R)  →  close remaining 50%</w:t>
      </w:r>
    </w:p>
    <w:p>
      <w:pPr>
        <w:pStyle w:val="NoSpacing"/>
        <w:shd w:val="clear" w:color="auto" w:fill="F0F0F0"/>
      </w:pPr>
      <w:r>
        <w:rPr>
          <w:rFonts w:ascii="Courier New" w:hAnsi="Courier New"/>
          <w:color w:val="202020"/>
          <w:sz w:val="18"/>
        </w:rPr>
        <w:t>Stop to BE: Move stop to entry after Target 1 is hit</w:t>
      </w:r>
    </w:p>
    <w:p>
      <w:pPr>
        <w:pStyle w:val="NoSpacing"/>
        <w:shd w:val="clear" w:color="auto" w:fill="F0F0F0"/>
      </w:pPr>
      <w:r>
        <w:rPr>
          <w:rFonts w:ascii="Courier New" w:hAnsi="Courier New"/>
          <w:color w:val="202020"/>
          <w:sz w:val="18"/>
        </w:rPr>
        <w:t>Time exit:  Close if no Target 1 hit within 20 bars</w:t>
      </w:r>
    </w:p>
    <w:p>
      <w:pPr>
        <w:pStyle w:val="Heading2"/>
      </w:pPr>
      <w:r>
        <w:t>§2.6  Output Signal Schema</w:t>
      </w:r>
    </w:p>
    <w:p>
      <w:pPr>
        <w:pStyle w:val="NoSpacing"/>
        <w:shd w:val="clear" w:color="auto" w:fill="F0F0F0"/>
      </w:pPr>
      <w:r>
        <w:rPr>
          <w:rFonts w:ascii="Courier New" w:hAnsi="Courier New"/>
          <w:color w:val="202020"/>
          <w:sz w:val="18"/>
        </w:rPr>
        <w:t>{</w:t>
      </w:r>
    </w:p>
    <w:p>
      <w:pPr>
        <w:pStyle w:val="NoSpacing"/>
        <w:shd w:val="clear" w:color="auto" w:fill="F0F0F0"/>
      </w:pPr>
      <w:r>
        <w:rPr>
          <w:rFonts w:ascii="Courier New" w:hAnsi="Courier New"/>
          <w:color w:val="202020"/>
          <w:sz w:val="18"/>
        </w:rPr>
        <w:t xml:space="preserve">  "strategy_id": "TREND_PULLBACK",</w:t>
      </w:r>
    </w:p>
    <w:p>
      <w:pPr>
        <w:pStyle w:val="NoSpacing"/>
        <w:shd w:val="clear" w:color="auto" w:fill="F0F0F0"/>
      </w:pPr>
      <w:r>
        <w:rPr>
          <w:rFonts w:ascii="Courier New" w:hAnsi="Courier New"/>
          <w:color w:val="202020"/>
          <w:sz w:val="18"/>
        </w:rPr>
        <w:t xml:space="preserve">  "direction": "long" | "short",</w:t>
      </w:r>
    </w:p>
    <w:p>
      <w:pPr>
        <w:pStyle w:val="NoSpacing"/>
        <w:shd w:val="clear" w:color="auto" w:fill="F0F0F0"/>
      </w:pPr>
      <w:r>
        <w:rPr>
          <w:rFonts w:ascii="Courier New" w:hAnsi="Courier New"/>
          <w:color w:val="202020"/>
          <w:sz w:val="18"/>
        </w:rPr>
        <w:t xml:space="preserve">  "entry": float,</w:t>
      </w:r>
    </w:p>
    <w:p>
      <w:pPr>
        <w:pStyle w:val="NoSpacing"/>
        <w:shd w:val="clear" w:color="auto" w:fill="F0F0F0"/>
      </w:pPr>
      <w:r>
        <w:rPr>
          <w:rFonts w:ascii="Courier New" w:hAnsi="Courier New"/>
          <w:color w:val="202020"/>
          <w:sz w:val="18"/>
        </w:rPr>
        <w:t xml:space="preserve">  "stop_loss": float,</w:t>
      </w:r>
    </w:p>
    <w:p>
      <w:pPr>
        <w:pStyle w:val="NoSpacing"/>
        <w:shd w:val="clear" w:color="auto" w:fill="F0F0F0"/>
      </w:pPr>
      <w:r>
        <w:rPr>
          <w:rFonts w:ascii="Courier New" w:hAnsi="Courier New"/>
          <w:color w:val="202020"/>
          <w:sz w:val="18"/>
        </w:rPr>
        <w:t xml:space="preserve">  "target_1": float,</w:t>
      </w:r>
    </w:p>
    <w:p>
      <w:pPr>
        <w:pStyle w:val="NoSpacing"/>
        <w:shd w:val="clear" w:color="auto" w:fill="F0F0F0"/>
      </w:pPr>
      <w:r>
        <w:rPr>
          <w:rFonts w:ascii="Courier New" w:hAnsi="Courier New"/>
          <w:color w:val="202020"/>
          <w:sz w:val="18"/>
        </w:rPr>
        <w:t xml:space="preserve">  "target_2": float,</w:t>
      </w:r>
    </w:p>
    <w:p>
      <w:pPr>
        <w:pStyle w:val="NoSpacing"/>
        <w:shd w:val="clear" w:color="auto" w:fill="F0F0F0"/>
      </w:pPr>
      <w:r>
        <w:rPr>
          <w:rFonts w:ascii="Courier New" w:hAnsi="Courier New"/>
          <w:color w:val="202020"/>
          <w:sz w:val="18"/>
        </w:rPr>
        <w:t xml:space="preserve">  "confidence": 0.0–1.0,</w:t>
      </w:r>
    </w:p>
    <w:p>
      <w:pPr>
        <w:pStyle w:val="NoSpacing"/>
        <w:shd w:val="clear" w:color="auto" w:fill="F0F0F0"/>
      </w:pPr>
      <w:r>
        <w:rPr>
          <w:rFonts w:ascii="Courier New" w:hAnsi="Courier New"/>
          <w:color w:val="202020"/>
          <w:sz w:val="18"/>
        </w:rPr>
        <w:t xml:space="preserve">  "regime": "STRONG_TREND" | "WEAK_TREND",</w:t>
      </w:r>
    </w:p>
    <w:p>
      <w:pPr>
        <w:pStyle w:val="NoSpacing"/>
        <w:shd w:val="clear" w:color="auto" w:fill="F0F0F0"/>
      </w:pPr>
      <w:r>
        <w:rPr>
          <w:rFonts w:ascii="Courier New" w:hAnsi="Courier New"/>
          <w:color w:val="202020"/>
          <w:sz w:val="18"/>
        </w:rPr>
        <w:t xml:space="preserve">  "rules_passed": ["M1","M2","M3","S1","S3","O1","O2"],</w:t>
      </w:r>
    </w:p>
    <w:p>
      <w:pPr>
        <w:pStyle w:val="NoSpacing"/>
        <w:shd w:val="clear" w:color="auto" w:fill="F0F0F0"/>
      </w:pPr>
      <w:r>
        <w:rPr>
          <w:rFonts w:ascii="Courier New" w:hAnsi="Courier New"/>
          <w:color w:val="202020"/>
          <w:sz w:val="18"/>
        </w:rPr>
        <w:t xml:space="preserve">  "rules_failed": ["S2","O3"],</w:t>
      </w:r>
    </w:p>
    <w:p>
      <w:pPr>
        <w:pStyle w:val="NoSpacing"/>
        <w:shd w:val="clear" w:color="auto" w:fill="F0F0F0"/>
      </w:pPr>
      <w:r>
        <w:rPr>
          <w:rFonts w:ascii="Courier New" w:hAnsi="Courier New"/>
          <w:color w:val="202020"/>
          <w:sz w:val="18"/>
        </w:rPr>
        <w:t xml:space="preserve">  "timeframe": "M5",</w:t>
      </w:r>
    </w:p>
    <w:p>
      <w:pPr>
        <w:pStyle w:val="NoSpacing"/>
        <w:shd w:val="clear" w:color="auto" w:fill="F0F0F0"/>
      </w:pPr>
      <w:r>
        <w:rPr>
          <w:rFonts w:ascii="Courier New" w:hAnsi="Courier New"/>
          <w:color w:val="202020"/>
          <w:sz w:val="18"/>
        </w:rPr>
        <w:t xml:space="preserve">  "timestamp": ISO8601</w:t>
      </w:r>
    </w:p>
    <w:p>
      <w:pPr>
        <w:pStyle w:val="NoSpacing"/>
        <w:shd w:val="clear" w:color="auto" w:fill="F0F0F0"/>
      </w:pPr>
      <w:r>
        <w:rPr>
          <w:rFonts w:ascii="Courier New" w:hAnsi="Courier New"/>
          <w:color w:val="202020"/>
          <w:sz w:val="18"/>
        </w:rPr>
        <w:t>}</w:t>
      </w:r>
    </w:p>
    <w:p>
      <w:r>
        <w:br w:type="page"/>
      </w:r>
    </w:p>
    <w:p>
      <w:pPr>
        <w:pStyle w:val="Heading1"/>
      </w:pPr>
      <w:r>
        <w:t>§3  BREAKOUT — Strategy Detector</w:t>
      </w:r>
    </w:p>
    <w:p>
      <w:pPr>
        <w:pStyle w:val="Heading2"/>
      </w:pPr>
      <w:r>
        <w:t>§3.1  Overview</w:t>
      </w:r>
    </w:p>
    <w:p>
      <w:r>
        <w:rPr>
          <w:b w:val="0"/>
          <w:i w:val="0"/>
          <w:sz w:val="20"/>
        </w:rPr>
        <w:t>Detects and trades breakouts from consolidation zones, key S/R levels, or volatility compression patterns. Enters on confirmed break with volume.</w:t>
      </w:r>
    </w:p>
    <w:p>
      <w:pPr>
        <w:pStyle w:val="Heading2"/>
      </w:pPr>
      <w:r>
        <w:t>§3.2  Regime Gate</w:t>
      </w:r>
    </w:p>
    <w:p>
      <w:pPr>
        <w:pStyle w:val="NoSpacing"/>
        <w:shd w:val="clear" w:color="auto" w:fill="F0F0F0"/>
      </w:pPr>
      <w:r>
        <w:rPr>
          <w:rFonts w:ascii="Courier New" w:hAnsi="Courier New"/>
          <w:color w:val="202020"/>
          <w:sz w:val="18"/>
        </w:rPr>
        <w:t>Active in: STRONG_TREND, WEAK_TREND, RANGE</w:t>
      </w:r>
    </w:p>
    <w:p>
      <w:pPr>
        <w:pStyle w:val="NoSpacing"/>
        <w:shd w:val="clear" w:color="auto" w:fill="F0F0F0"/>
      </w:pPr>
      <w:r>
        <w:rPr>
          <w:rFonts w:ascii="Courier New" w:hAnsi="Courier New"/>
          <w:color w:val="202020"/>
          <w:sz w:val="18"/>
        </w:rPr>
        <w:t>Inactive in: HIGH_VOLATILITY (too many false breaks in extreme vol)</w:t>
      </w:r>
    </w:p>
    <w:p>
      <w:pPr>
        <w:pStyle w:val="Heading2"/>
      </w:pPr>
      <w:r>
        <w:t>§3.3  Entry Rules</w:t>
      </w:r>
    </w:p>
    <w:p>
      <w:r>
        <w:rPr>
          <w:b/>
          <w:i w:val="0"/>
          <w:sz w:val="20"/>
        </w:rPr>
        <w:t>MANDATORY rules:</w:t>
      </w:r>
    </w:p>
    <w:p>
      <w:pPr>
        <w:pStyle w:val="NoSpacing"/>
        <w:shd w:val="clear" w:color="auto" w:fill="F0F0F0"/>
      </w:pPr>
      <w:r>
        <w:rPr>
          <w:rFonts w:ascii="Courier New" w:hAnsi="Courier New"/>
          <w:color w:val="202020"/>
          <w:sz w:val="18"/>
        </w:rPr>
        <w:t>M1. STRUCTURE LEVEL IDENTIFIED:</w:t>
      </w:r>
    </w:p>
    <w:p>
      <w:pPr>
        <w:pStyle w:val="NoSpacing"/>
        <w:shd w:val="clear" w:color="auto" w:fill="F0F0F0"/>
      </w:pPr>
      <w:r>
        <w:rPr>
          <w:rFonts w:ascii="Courier New" w:hAnsi="Courier New"/>
          <w:color w:val="202020"/>
          <w:sz w:val="18"/>
        </w:rPr>
        <w:t xml:space="preserve">    A swing high/low, S/R zone, or BB band that price has tested ≥ 2 times</w:t>
      </w:r>
    </w:p>
    <w:p>
      <w:pPr>
        <w:pStyle w:val="NoSpacing"/>
        <w:shd w:val="clear" w:color="auto" w:fill="F0F0F0"/>
      </w:pPr>
      <w:r>
        <w:rPr>
          <w:rFonts w:ascii="Courier New" w:hAnsi="Courier New"/>
          <w:color w:val="202020"/>
          <w:sz w:val="18"/>
        </w:rPr>
        <w:t xml:space="preserve">    Level tolerance: ± 0.3 × ATR(14)</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M2. CLEAN BREAK:</w:t>
      </w:r>
    </w:p>
    <w:p>
      <w:pPr>
        <w:pStyle w:val="NoSpacing"/>
        <w:shd w:val="clear" w:color="auto" w:fill="F0F0F0"/>
      </w:pPr>
      <w:r>
        <w:rPr>
          <w:rFonts w:ascii="Courier New" w:hAnsi="Courier New"/>
          <w:color w:val="202020"/>
          <w:sz w:val="18"/>
        </w:rPr>
        <w:t xml:space="preserve">    Close beyond level by ≥ 0.2 × ATR(14) (avoids wicks-only breaks)</w:t>
      </w:r>
    </w:p>
    <w:p>
      <w:pPr>
        <w:pStyle w:val="NoSpacing"/>
        <w:shd w:val="clear" w:color="auto" w:fill="F0F0F0"/>
      </w:pPr>
      <w:r>
        <w:rPr>
          <w:rFonts w:ascii="Courier New" w:hAnsi="Courier New"/>
          <w:color w:val="202020"/>
          <w:sz w:val="18"/>
        </w:rPr>
        <w:t xml:space="preserve">    Bullish: close &gt; resistance_level + 0.2×ATR</w:t>
      </w:r>
    </w:p>
    <w:p>
      <w:pPr>
        <w:pStyle w:val="NoSpacing"/>
        <w:shd w:val="clear" w:color="auto" w:fill="F0F0F0"/>
      </w:pPr>
      <w:r>
        <w:rPr>
          <w:rFonts w:ascii="Courier New" w:hAnsi="Courier New"/>
          <w:color w:val="202020"/>
          <w:sz w:val="18"/>
        </w:rPr>
        <w:t xml:space="preserve">    Bearish: close &lt; support_level - 0.2×ATR</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M3. VOLUME CONFIRMATION:</w:t>
      </w:r>
    </w:p>
    <w:p>
      <w:pPr>
        <w:pStyle w:val="NoSpacing"/>
        <w:shd w:val="clear" w:color="auto" w:fill="F0F0F0"/>
      </w:pPr>
      <w:r>
        <w:rPr>
          <w:rFonts w:ascii="Courier New" w:hAnsi="Courier New"/>
          <w:color w:val="202020"/>
          <w:sz w:val="18"/>
        </w:rPr>
        <w:t xml:space="preserve">    volume &gt; vol_threshold (see §0.7) — MANDATORY for BREAKOUT (not optional)</w:t>
      </w:r>
    </w:p>
    <w:p>
      <w:r>
        <w:rPr>
          <w:b/>
          <w:i w:val="0"/>
          <w:sz w:val="20"/>
        </w:rPr>
        <w:t>STRONG rules:</w:t>
      </w:r>
    </w:p>
    <w:p>
      <w:pPr>
        <w:pStyle w:val="NoSpacing"/>
        <w:shd w:val="clear" w:color="auto" w:fill="F0F0F0"/>
      </w:pPr>
      <w:r>
        <w:rPr>
          <w:rFonts w:ascii="Courier New" w:hAnsi="Courier New"/>
          <w:color w:val="202020"/>
          <w:sz w:val="18"/>
        </w:rPr>
        <w:t>S1. RETEST ENTRY (preferred): Price retests broken level from above/below</w:t>
      </w:r>
    </w:p>
    <w:p>
      <w:pPr>
        <w:pStyle w:val="NoSpacing"/>
        <w:shd w:val="clear" w:color="auto" w:fill="F0F0F0"/>
      </w:pPr>
      <w:r>
        <w:rPr>
          <w:rFonts w:ascii="Courier New" w:hAnsi="Courier New"/>
          <w:color w:val="202020"/>
          <w:sz w:val="18"/>
        </w:rPr>
        <w:t xml:space="preserve">    Retest zone: level ± 0.5 × ATR(14)</w:t>
      </w:r>
    </w:p>
    <w:p>
      <w:pPr>
        <w:pStyle w:val="NoSpacing"/>
        <w:shd w:val="clear" w:color="auto" w:fill="F0F0F0"/>
      </w:pPr>
      <w:r>
        <w:rPr>
          <w:rFonts w:ascii="Courier New" w:hAnsi="Courier New"/>
          <w:color w:val="202020"/>
          <w:sz w:val="18"/>
        </w:rPr>
        <w:t xml:space="preserve">    Retest candle shows rejection (see §0.3) — if no retest, enter on break close</w:t>
      </w:r>
    </w:p>
    <w:p>
      <w:pPr>
        <w:pStyle w:val="NoSpacing"/>
        <w:shd w:val="clear" w:color="auto" w:fill="F0F0F0"/>
      </w:pPr>
      <w:r>
        <w:rPr>
          <w:rFonts w:ascii="Courier New" w:hAnsi="Courier New"/>
          <w:color w:val="202020"/>
          <w:sz w:val="18"/>
        </w:rPr>
        <w:t>S2. ADX DIRECTION: ADX trending (not flat) in direction of break</w:t>
      </w:r>
    </w:p>
    <w:p>
      <w:pPr>
        <w:pStyle w:val="NoSpacing"/>
        <w:shd w:val="clear" w:color="auto" w:fill="F0F0F0"/>
      </w:pPr>
      <w:r>
        <w:rPr>
          <w:rFonts w:ascii="Courier New" w:hAnsi="Courier New"/>
          <w:color w:val="202020"/>
          <w:sz w:val="18"/>
        </w:rPr>
        <w:t>S3. NO MAJOR RESISTANCE within 1.5 × risk distance ahead</w:t>
      </w:r>
    </w:p>
    <w:p>
      <w:r>
        <w:rPr>
          <w:b/>
          <w:i w:val="0"/>
          <w:sz w:val="20"/>
        </w:rPr>
        <w:t>OPTIONAL rules:</w:t>
      </w:r>
    </w:p>
    <w:p>
      <w:pPr>
        <w:pStyle w:val="NoSpacing"/>
        <w:shd w:val="clear" w:color="auto" w:fill="F0F0F0"/>
      </w:pPr>
      <w:r>
        <w:rPr>
          <w:rFonts w:ascii="Courier New" w:hAnsi="Courier New"/>
          <w:color w:val="202020"/>
          <w:sz w:val="18"/>
        </w:rPr>
        <w:t>O1. HIGHER TF ALIGNMENT: Break aligns with higher TF trend</w:t>
      </w:r>
    </w:p>
    <w:p>
      <w:pPr>
        <w:pStyle w:val="NoSpacing"/>
        <w:shd w:val="clear" w:color="auto" w:fill="F0F0F0"/>
      </w:pPr>
      <w:r>
        <w:rPr>
          <w:rFonts w:ascii="Courier New" w:hAnsi="Courier New"/>
          <w:color w:val="202020"/>
          <w:sz w:val="18"/>
        </w:rPr>
        <w:t>O2. SESSION: London or NY session</w:t>
      </w:r>
    </w:p>
    <w:p>
      <w:pPr>
        <w:pStyle w:val="NoSpacing"/>
        <w:shd w:val="clear" w:color="auto" w:fill="F0F0F0"/>
      </w:pPr>
      <w:r>
        <w:rPr>
          <w:rFonts w:ascii="Courier New" w:hAnsi="Courier New"/>
          <w:color w:val="202020"/>
          <w:sz w:val="18"/>
        </w:rPr>
        <w:t>O3. BB EXPANSION: BB width expanding at time of break</w:t>
      </w:r>
    </w:p>
    <w:p>
      <w:pPr>
        <w:pStyle w:val="Heading2"/>
      </w:pPr>
      <w:r>
        <w:t>§3.4  Confidence Scoring</w:t>
      </w:r>
    </w:p>
    <w:p>
      <w:pPr>
        <w:pStyle w:val="NoSpacing"/>
        <w:shd w:val="clear" w:color="auto" w:fill="F0F0F0"/>
      </w:pPr>
      <w:r>
        <w:rPr>
          <w:rFonts w:ascii="Courier New" w:hAnsi="Courier New"/>
          <w:color w:val="202020"/>
          <w:sz w:val="18"/>
        </w:rPr>
        <w:t>Rule weights: M1=3, M2=3, M3=3, S1=2, S2=2, S3=2, O1=1, O2=1, O3=1</w:t>
      </w:r>
    </w:p>
    <w:p>
      <w:pPr>
        <w:pStyle w:val="NoSpacing"/>
        <w:shd w:val="clear" w:color="auto" w:fill="F0F0F0"/>
      </w:pPr>
      <w:r>
        <w:rPr>
          <w:rFonts w:ascii="Courier New" w:hAnsi="Courier New"/>
          <w:color w:val="202020"/>
          <w:sz w:val="18"/>
        </w:rPr>
        <w:t>Max score = 18</w:t>
      </w:r>
    </w:p>
    <w:p>
      <w:pPr>
        <w:pStyle w:val="NoSpacing"/>
        <w:shd w:val="clear" w:color="auto" w:fill="F0F0F0"/>
      </w:pPr>
      <w:r>
        <w:rPr>
          <w:rFonts w:ascii="Courier New" w:hAnsi="Courier New"/>
          <w:color w:val="202020"/>
          <w:sz w:val="18"/>
        </w:rPr>
        <w:t>confidence = 0.0 if M1 OR M2 OR M3 fails</w:t>
      </w:r>
    </w:p>
    <w:p>
      <w:pPr>
        <w:pStyle w:val="Heading2"/>
      </w:pPr>
      <w:r>
        <w:t>§3.5  Entry &amp; Exit Parameters</w:t>
      </w:r>
    </w:p>
    <w:p>
      <w:pPr>
        <w:pStyle w:val="NoSpacing"/>
        <w:shd w:val="clear" w:color="auto" w:fill="F0F0F0"/>
      </w:pPr>
      <w:r>
        <w:rPr>
          <w:rFonts w:ascii="Courier New" w:hAnsi="Courier New"/>
          <w:color w:val="202020"/>
          <w:sz w:val="18"/>
        </w:rPr>
        <w:t>Entry (break):   Next bar open after break candle closes</w:t>
      </w:r>
    </w:p>
    <w:p>
      <w:pPr>
        <w:pStyle w:val="NoSpacing"/>
        <w:shd w:val="clear" w:color="auto" w:fill="F0F0F0"/>
      </w:pPr>
      <w:r>
        <w:rPr>
          <w:rFonts w:ascii="Courier New" w:hAnsi="Courier New"/>
          <w:color w:val="202020"/>
          <w:sz w:val="18"/>
        </w:rPr>
        <w:t>Entry (retest):  Next bar open after retest rejection candle closes</w:t>
      </w:r>
    </w:p>
    <w:p>
      <w:pPr>
        <w:pStyle w:val="NoSpacing"/>
        <w:shd w:val="clear" w:color="auto" w:fill="F0F0F0"/>
      </w:pPr>
      <w:r>
        <w:rPr>
          <w:rFonts w:ascii="Courier New" w:hAnsi="Courier New"/>
          <w:color w:val="202020"/>
          <w:sz w:val="18"/>
        </w:rPr>
        <w:t>Stop Loss:       Below/above the broken level + 0.5 × ATR(14)</w:t>
      </w:r>
    </w:p>
    <w:p>
      <w:pPr>
        <w:pStyle w:val="NoSpacing"/>
        <w:shd w:val="clear" w:color="auto" w:fill="F0F0F0"/>
      </w:pPr>
      <w:r>
        <w:rPr>
          <w:rFonts w:ascii="Courier New" w:hAnsi="Courier New"/>
          <w:color w:val="202020"/>
          <w:sz w:val="18"/>
        </w:rPr>
        <w:t>Target 1:        1R  →  close 50%</w:t>
      </w:r>
    </w:p>
    <w:p>
      <w:pPr>
        <w:pStyle w:val="NoSpacing"/>
        <w:shd w:val="clear" w:color="auto" w:fill="F0F0F0"/>
      </w:pPr>
      <w:r>
        <w:rPr>
          <w:rFonts w:ascii="Courier New" w:hAnsi="Courier New"/>
          <w:color w:val="202020"/>
          <w:sz w:val="18"/>
        </w:rPr>
        <w:t>Target 2:        2R  →  close remaining 50%</w:t>
      </w:r>
    </w:p>
    <w:p>
      <w:pPr>
        <w:pStyle w:val="NoSpacing"/>
        <w:shd w:val="clear" w:color="auto" w:fill="F0F0F0"/>
      </w:pPr>
      <w:r>
        <w:rPr>
          <w:rFonts w:ascii="Courier New" w:hAnsi="Courier New"/>
          <w:color w:val="202020"/>
          <w:sz w:val="18"/>
        </w:rPr>
        <w:t>Stop to BE:      After Target 1 hit</w:t>
      </w:r>
    </w:p>
    <w:p>
      <w:pPr>
        <w:pStyle w:val="NoSpacing"/>
        <w:shd w:val="clear" w:color="auto" w:fill="F0F0F0"/>
      </w:pPr>
      <w:r>
        <w:rPr>
          <w:rFonts w:ascii="Courier New" w:hAnsi="Courier New"/>
          <w:color w:val="202020"/>
          <w:sz w:val="18"/>
        </w:rPr>
        <w:t>Time exit:       Close if no Target 1 within 15 bars</w:t>
      </w:r>
    </w:p>
    <w:p>
      <w:pPr>
        <w:pStyle w:val="Heading2"/>
      </w:pPr>
      <w:r>
        <w:t>§3.6  Output Signal Schema</w:t>
      </w:r>
    </w:p>
    <w:p>
      <w:pPr>
        <w:pStyle w:val="NoSpacing"/>
        <w:shd w:val="clear" w:color="auto" w:fill="F0F0F0"/>
      </w:pPr>
      <w:r>
        <w:rPr>
          <w:rFonts w:ascii="Courier New" w:hAnsi="Courier New"/>
          <w:color w:val="202020"/>
          <w:sz w:val="18"/>
        </w:rPr>
        <w:t>{</w:t>
      </w:r>
    </w:p>
    <w:p>
      <w:pPr>
        <w:pStyle w:val="NoSpacing"/>
        <w:shd w:val="clear" w:color="auto" w:fill="F0F0F0"/>
      </w:pPr>
      <w:r>
        <w:rPr>
          <w:rFonts w:ascii="Courier New" w:hAnsi="Courier New"/>
          <w:color w:val="202020"/>
          <w:sz w:val="18"/>
        </w:rPr>
        <w:t xml:space="preserve">  "strategy_id": "BREAKOUT",</w:t>
      </w:r>
    </w:p>
    <w:p>
      <w:pPr>
        <w:pStyle w:val="NoSpacing"/>
        <w:shd w:val="clear" w:color="auto" w:fill="F0F0F0"/>
      </w:pPr>
      <w:r>
        <w:rPr>
          <w:rFonts w:ascii="Courier New" w:hAnsi="Courier New"/>
          <w:color w:val="202020"/>
          <w:sz w:val="18"/>
        </w:rPr>
        <w:t xml:space="preserve">  "direction": "long" | "short",</w:t>
      </w:r>
    </w:p>
    <w:p>
      <w:pPr>
        <w:pStyle w:val="NoSpacing"/>
        <w:shd w:val="clear" w:color="auto" w:fill="F0F0F0"/>
      </w:pPr>
      <w:r>
        <w:rPr>
          <w:rFonts w:ascii="Courier New" w:hAnsi="Courier New"/>
          <w:color w:val="202020"/>
          <w:sz w:val="18"/>
        </w:rPr>
        <w:t xml:space="preserve">  "entry": float,</w:t>
      </w:r>
    </w:p>
    <w:p>
      <w:pPr>
        <w:pStyle w:val="NoSpacing"/>
        <w:shd w:val="clear" w:color="auto" w:fill="F0F0F0"/>
      </w:pPr>
      <w:r>
        <w:rPr>
          <w:rFonts w:ascii="Courier New" w:hAnsi="Courier New"/>
          <w:color w:val="202020"/>
          <w:sz w:val="18"/>
        </w:rPr>
        <w:t xml:space="preserve">  "stop_loss": float,</w:t>
      </w:r>
    </w:p>
    <w:p>
      <w:pPr>
        <w:pStyle w:val="NoSpacing"/>
        <w:shd w:val="clear" w:color="auto" w:fill="F0F0F0"/>
      </w:pPr>
      <w:r>
        <w:rPr>
          <w:rFonts w:ascii="Courier New" w:hAnsi="Courier New"/>
          <w:color w:val="202020"/>
          <w:sz w:val="18"/>
        </w:rPr>
        <w:t xml:space="preserve">  "target_1": float,</w:t>
      </w:r>
    </w:p>
    <w:p>
      <w:pPr>
        <w:pStyle w:val="NoSpacing"/>
        <w:shd w:val="clear" w:color="auto" w:fill="F0F0F0"/>
      </w:pPr>
      <w:r>
        <w:rPr>
          <w:rFonts w:ascii="Courier New" w:hAnsi="Courier New"/>
          <w:color w:val="202020"/>
          <w:sz w:val="18"/>
        </w:rPr>
        <w:t xml:space="preserve">  "target_2": float,</w:t>
      </w:r>
    </w:p>
    <w:p>
      <w:pPr>
        <w:pStyle w:val="NoSpacing"/>
        <w:shd w:val="clear" w:color="auto" w:fill="F0F0F0"/>
      </w:pPr>
      <w:r>
        <w:rPr>
          <w:rFonts w:ascii="Courier New" w:hAnsi="Courier New"/>
          <w:color w:val="202020"/>
          <w:sz w:val="18"/>
        </w:rPr>
        <w:t xml:space="preserve">  "confidence": 0.0–1.0,</w:t>
      </w:r>
    </w:p>
    <w:p>
      <w:pPr>
        <w:pStyle w:val="NoSpacing"/>
        <w:shd w:val="clear" w:color="auto" w:fill="F0F0F0"/>
      </w:pPr>
      <w:r>
        <w:rPr>
          <w:rFonts w:ascii="Courier New" w:hAnsi="Courier New"/>
          <w:color w:val="202020"/>
          <w:sz w:val="18"/>
        </w:rPr>
        <w:t xml:space="preserve">  "entry_type": "break" | "retest",</w:t>
      </w:r>
    </w:p>
    <w:p>
      <w:pPr>
        <w:pStyle w:val="NoSpacing"/>
        <w:shd w:val="clear" w:color="auto" w:fill="F0F0F0"/>
      </w:pPr>
      <w:r>
        <w:rPr>
          <w:rFonts w:ascii="Courier New" w:hAnsi="Courier New"/>
          <w:color w:val="202020"/>
          <w:sz w:val="18"/>
        </w:rPr>
        <w:t xml:space="preserve">  "broken_level": float,</w:t>
      </w:r>
    </w:p>
    <w:p>
      <w:pPr>
        <w:pStyle w:val="NoSpacing"/>
        <w:shd w:val="clear" w:color="auto" w:fill="F0F0F0"/>
      </w:pPr>
      <w:r>
        <w:rPr>
          <w:rFonts w:ascii="Courier New" w:hAnsi="Courier New"/>
          <w:color w:val="202020"/>
          <w:sz w:val="18"/>
        </w:rPr>
        <w:t xml:space="preserve">  "regime": string,</w:t>
      </w:r>
    </w:p>
    <w:p>
      <w:pPr>
        <w:pStyle w:val="NoSpacing"/>
        <w:shd w:val="clear" w:color="auto" w:fill="F0F0F0"/>
      </w:pPr>
      <w:r>
        <w:rPr>
          <w:rFonts w:ascii="Courier New" w:hAnsi="Courier New"/>
          <w:color w:val="202020"/>
          <w:sz w:val="18"/>
        </w:rPr>
        <w:t xml:space="preserve">  "rules_passed": [...],</w:t>
      </w:r>
    </w:p>
    <w:p>
      <w:pPr>
        <w:pStyle w:val="NoSpacing"/>
        <w:shd w:val="clear" w:color="auto" w:fill="F0F0F0"/>
      </w:pPr>
      <w:r>
        <w:rPr>
          <w:rFonts w:ascii="Courier New" w:hAnsi="Courier New"/>
          <w:color w:val="202020"/>
          <w:sz w:val="18"/>
        </w:rPr>
        <w:t xml:space="preserve">  "rules_failed": [...],</w:t>
      </w:r>
    </w:p>
    <w:p>
      <w:pPr>
        <w:pStyle w:val="NoSpacing"/>
        <w:shd w:val="clear" w:color="auto" w:fill="F0F0F0"/>
      </w:pPr>
      <w:r>
        <w:rPr>
          <w:rFonts w:ascii="Courier New" w:hAnsi="Courier New"/>
          <w:color w:val="202020"/>
          <w:sz w:val="18"/>
        </w:rPr>
        <w:t xml:space="preserve">  "timeframe": string,</w:t>
      </w:r>
    </w:p>
    <w:p>
      <w:pPr>
        <w:pStyle w:val="NoSpacing"/>
        <w:shd w:val="clear" w:color="auto" w:fill="F0F0F0"/>
      </w:pPr>
      <w:r>
        <w:rPr>
          <w:rFonts w:ascii="Courier New" w:hAnsi="Courier New"/>
          <w:color w:val="202020"/>
          <w:sz w:val="18"/>
        </w:rPr>
        <w:t xml:space="preserve">  "timestamp": ISO8601</w:t>
      </w:r>
    </w:p>
    <w:p>
      <w:pPr>
        <w:pStyle w:val="NoSpacing"/>
        <w:shd w:val="clear" w:color="auto" w:fill="F0F0F0"/>
      </w:pPr>
      <w:r>
        <w:rPr>
          <w:rFonts w:ascii="Courier New" w:hAnsi="Courier New"/>
          <w:color w:val="202020"/>
          <w:sz w:val="18"/>
        </w:rPr>
        <w:t>}</w:t>
      </w:r>
    </w:p>
    <w:p>
      <w:r>
        <w:br w:type="page"/>
      </w:r>
    </w:p>
    <w:p>
      <w:pPr>
        <w:pStyle w:val="Heading1"/>
      </w:pPr>
      <w:r>
        <w:t>§4  RANGE_REVERSION — Strategy Detector</w:t>
      </w:r>
    </w:p>
    <w:p>
      <w:pPr>
        <w:pStyle w:val="Heading2"/>
      </w:pPr>
      <w:r>
        <w:t>§4.1  Overview</w:t>
      </w:r>
    </w:p>
    <w:p>
      <w:r>
        <w:rPr>
          <w:b w:val="0"/>
          <w:i w:val="0"/>
          <w:sz w:val="20"/>
        </w:rPr>
        <w:t>Fades price to the opposite boundary of a defined range. Enters near range extremes with rejection confirmation. Mean-reversion logic within a bounded price structure.</w:t>
      </w:r>
    </w:p>
    <w:p>
      <w:pPr>
        <w:pStyle w:val="Heading2"/>
      </w:pPr>
      <w:r>
        <w:t>§4.2  Regime Gate</w:t>
      </w:r>
    </w:p>
    <w:p>
      <w:pPr>
        <w:pStyle w:val="NoSpacing"/>
        <w:shd w:val="clear" w:color="auto" w:fill="F0F0F0"/>
      </w:pPr>
      <w:r>
        <w:rPr>
          <w:rFonts w:ascii="Courier New" w:hAnsi="Courier New"/>
          <w:color w:val="202020"/>
          <w:sz w:val="18"/>
        </w:rPr>
        <w:t>Active in: RANGE (primary), WEAK_TREND (caution — halved position size)</w:t>
      </w:r>
    </w:p>
    <w:p>
      <w:pPr>
        <w:pStyle w:val="NoSpacing"/>
        <w:shd w:val="clear" w:color="auto" w:fill="F0F0F0"/>
      </w:pPr>
      <w:r>
        <w:rPr>
          <w:rFonts w:ascii="Courier New" w:hAnsi="Courier New"/>
          <w:color w:val="202020"/>
          <w:sz w:val="18"/>
        </w:rPr>
        <w:t>Inactive in: STRONG_TREND, HIGH_VOLATILITY</w:t>
      </w:r>
    </w:p>
    <w:p>
      <w:pPr>
        <w:pStyle w:val="Heading2"/>
      </w:pPr>
      <w:r>
        <w:t>§4.3  Range Definition</w:t>
      </w:r>
    </w:p>
    <w:p>
      <w:pPr>
        <w:pStyle w:val="NoSpacing"/>
        <w:shd w:val="clear" w:color="auto" w:fill="F0F0F0"/>
      </w:pPr>
      <w:r>
        <w:rPr>
          <w:rFonts w:ascii="Courier New" w:hAnsi="Courier New"/>
          <w:color w:val="202020"/>
          <w:sz w:val="18"/>
        </w:rPr>
        <w:t>Range is valid when:</w:t>
      </w:r>
    </w:p>
    <w:p>
      <w:pPr>
        <w:pStyle w:val="NoSpacing"/>
        <w:shd w:val="clear" w:color="auto" w:fill="F0F0F0"/>
      </w:pPr>
      <w:r>
        <w:rPr>
          <w:rFonts w:ascii="Courier New" w:hAnsi="Courier New"/>
          <w:color w:val="202020"/>
          <w:sz w:val="18"/>
        </w:rPr>
        <w:t xml:space="preserve">  1. ADX &lt; 20 (low directional pressure)</w:t>
      </w:r>
    </w:p>
    <w:p>
      <w:pPr>
        <w:pStyle w:val="NoSpacing"/>
        <w:shd w:val="clear" w:color="auto" w:fill="F0F0F0"/>
      </w:pPr>
      <w:r>
        <w:rPr>
          <w:rFonts w:ascii="Courier New" w:hAnsi="Courier New"/>
          <w:color w:val="202020"/>
          <w:sz w:val="18"/>
        </w:rPr>
        <w:t xml:space="preserve">  2. Price has touched upper boundary ≥ 2 times AND lower boundary ≥ 2 times</w:t>
      </w:r>
    </w:p>
    <w:p>
      <w:pPr>
        <w:pStyle w:val="NoSpacing"/>
        <w:shd w:val="clear" w:color="auto" w:fill="F0F0F0"/>
      </w:pPr>
      <w:r>
        <w:rPr>
          <w:rFonts w:ascii="Courier New" w:hAnsi="Courier New"/>
          <w:color w:val="202020"/>
          <w:sz w:val="18"/>
        </w:rPr>
        <w:t xml:space="preserve">     within the last 50 bars</w:t>
      </w:r>
    </w:p>
    <w:p>
      <w:pPr>
        <w:pStyle w:val="NoSpacing"/>
        <w:shd w:val="clear" w:color="auto" w:fill="F0F0F0"/>
      </w:pPr>
      <w:r>
        <w:rPr>
          <w:rFonts w:ascii="Courier New" w:hAnsi="Courier New"/>
          <w:color w:val="202020"/>
          <w:sz w:val="18"/>
        </w:rPr>
        <w:t xml:space="preserve">  3. Range height ≥ 1.5 × ATR(14)  (meaningful range, not noise)</w:t>
      </w:r>
    </w:p>
    <w:p>
      <w:pPr>
        <w:pStyle w:val="NoSpacing"/>
        <w:shd w:val="clear" w:color="auto" w:fill="F0F0F0"/>
      </w:pPr>
      <w:r>
        <w:rPr>
          <w:rFonts w:ascii="Courier New" w:hAnsi="Courier New"/>
          <w:color w:val="202020"/>
          <w:sz w:val="18"/>
        </w:rPr>
        <w:t xml:space="preserve">  4. Range height ≤ 8 × ATR(14)    (not an extended trend disguised as range)</w:t>
      </w:r>
    </w:p>
    <w:p>
      <w:pPr>
        <w:pStyle w:val="NoSpacing"/>
        <w:shd w:val="clear" w:color="auto" w:fill="F0F0F0"/>
      </w:pPr>
      <w:r>
        <w:rPr>
          <w:rFonts w:ascii="Courier New" w:hAnsi="Courier New"/>
          <w:color w:val="202020"/>
          <w:sz w:val="18"/>
        </w:rPr>
      </w:r>
    </w:p>
    <w:p>
      <w:pPr>
        <w:pStyle w:val="NoSpacing"/>
        <w:shd w:val="clear" w:color="auto" w:fill="F0F0F0"/>
      </w:pPr>
      <w:r>
        <w:rPr>
          <w:rFonts w:ascii="Courier New" w:hAnsi="Courier New"/>
          <w:color w:val="202020"/>
          <w:sz w:val="18"/>
        </w:rPr>
        <w:t>Boundary tolerance: ± 0.3 × ATR(14)</w:t>
      </w:r>
    </w:p>
    <w:p>
      <w:pPr>
        <w:pStyle w:val="NoSpacing"/>
        <w:shd w:val="clear" w:color="auto" w:fill="F0F0F0"/>
      </w:pPr>
      <w:r>
        <w:rPr>
          <w:rFonts w:ascii="Courier New" w:hAnsi="Courier New"/>
          <w:color w:val="202020"/>
          <w:sz w:val="18"/>
        </w:rPr>
        <w:t>Range midpoint: (upper_boundary + lower_boundary) / 2</w:t>
      </w:r>
    </w:p>
    <w:p>
      <w:pPr>
        <w:pStyle w:val="Heading2"/>
      </w:pPr>
      <w:r>
        <w:t>§4.4  Entry Rules</w:t>
      </w:r>
    </w:p>
    <w:p>
      <w:r>
        <w:rPr>
          <w:b/>
          <w:i w:val="0"/>
          <w:sz w:val="20"/>
        </w:rPr>
        <w:t>MANDATORY rules:</w:t>
      </w:r>
    </w:p>
    <w:p>
      <w:pPr>
        <w:pStyle w:val="NoSpacing"/>
        <w:shd w:val="clear" w:color="auto" w:fill="F0F0F0"/>
      </w:pPr>
      <w:r>
        <w:rPr>
          <w:rFonts w:ascii="Courier New" w:hAnsi="Courier New"/>
          <w:color w:val="202020"/>
          <w:sz w:val="18"/>
        </w:rPr>
        <w:t>M1. VALID RANGE: Range definition above is satisfied</w:t>
      </w:r>
    </w:p>
    <w:p>
      <w:pPr>
        <w:pStyle w:val="NoSpacing"/>
        <w:shd w:val="clear" w:color="auto" w:fill="F0F0F0"/>
      </w:pPr>
      <w:r>
        <w:rPr>
          <w:rFonts w:ascii="Courier New" w:hAnsi="Courier New"/>
          <w:color w:val="202020"/>
          <w:sz w:val="18"/>
        </w:rPr>
        <w:t>M2. PRICE AT BOUNDARY:</w:t>
      </w:r>
    </w:p>
    <w:p>
      <w:pPr>
        <w:pStyle w:val="NoSpacing"/>
        <w:shd w:val="clear" w:color="auto" w:fill="F0F0F0"/>
      </w:pPr>
      <w:r>
        <w:rPr>
          <w:rFonts w:ascii="Courier New" w:hAnsi="Courier New"/>
          <w:color w:val="202020"/>
          <w:sz w:val="18"/>
        </w:rPr>
        <w:t xml:space="preserve">    Long: low touches lower_boundary ± 0.3×ATR</w:t>
      </w:r>
    </w:p>
    <w:p>
      <w:pPr>
        <w:pStyle w:val="NoSpacing"/>
        <w:shd w:val="clear" w:color="auto" w:fill="F0F0F0"/>
      </w:pPr>
      <w:r>
        <w:rPr>
          <w:rFonts w:ascii="Courier New" w:hAnsi="Courier New"/>
          <w:color w:val="202020"/>
          <w:sz w:val="18"/>
        </w:rPr>
        <w:t xml:space="preserve">    Short: high touches upper_boundary ± 0.3×ATR</w:t>
      </w:r>
    </w:p>
    <w:p>
      <w:pPr>
        <w:pStyle w:val="NoSpacing"/>
        <w:shd w:val="clear" w:color="auto" w:fill="F0F0F0"/>
      </w:pPr>
      <w:r>
        <w:rPr>
          <w:rFonts w:ascii="Courier New" w:hAnsi="Courier New"/>
          <w:color w:val="202020"/>
          <w:sz w:val="18"/>
        </w:rPr>
        <w:t>M3. REJECTION CANDLE: Bullish/bearish rejection at boundary (see §0.3)</w:t>
      </w:r>
    </w:p>
    <w:p>
      <w:r>
        <w:rPr>
          <w:b/>
          <w:i w:val="0"/>
          <w:sz w:val="20"/>
        </w:rPr>
        <w:t>STRONG rules:</w:t>
      </w:r>
    </w:p>
    <w:p>
      <w:pPr>
        <w:pStyle w:val="NoSpacing"/>
        <w:shd w:val="clear" w:color="auto" w:fill="F0F0F0"/>
      </w:pPr>
      <w:r>
        <w:rPr>
          <w:rFonts w:ascii="Courier New" w:hAnsi="Courier New"/>
          <w:color w:val="202020"/>
          <w:sz w:val="18"/>
        </w:rPr>
        <w:t>S1. RSI EXTREME: RSI(14) &lt; 35 (long) or &gt; 65 (short)</w:t>
      </w:r>
    </w:p>
    <w:p>
      <w:pPr>
        <w:pStyle w:val="NoSpacing"/>
        <w:shd w:val="clear" w:color="auto" w:fill="F0F0F0"/>
      </w:pPr>
      <w:r>
        <w:rPr>
          <w:rFonts w:ascii="Courier New" w:hAnsi="Courier New"/>
          <w:color w:val="202020"/>
          <w:sz w:val="18"/>
        </w:rPr>
        <w:t>S2. VOLUME: volume &gt; vol_threshold at boundary touch</w:t>
      </w:r>
    </w:p>
    <w:p>
      <w:pPr>
        <w:pStyle w:val="NoSpacing"/>
        <w:shd w:val="clear" w:color="auto" w:fill="F0F0F0"/>
      </w:pPr>
      <w:r>
        <w:rPr>
          <w:rFonts w:ascii="Courier New" w:hAnsi="Courier New"/>
          <w:color w:val="202020"/>
          <w:sz w:val="18"/>
        </w:rPr>
        <w:t>S3. PRIOR BOUNDARY RESPECT: Last touch of this boundary resulted in reversal</w:t>
      </w:r>
    </w:p>
    <w:p>
      <w:r>
        <w:rPr>
          <w:b/>
          <w:i w:val="0"/>
          <w:sz w:val="20"/>
        </w:rPr>
        <w:t>OPTIONAL rules:</w:t>
      </w:r>
    </w:p>
    <w:p>
      <w:pPr>
        <w:pStyle w:val="NoSpacing"/>
        <w:shd w:val="clear" w:color="auto" w:fill="F0F0F0"/>
      </w:pPr>
      <w:r>
        <w:rPr>
          <w:rFonts w:ascii="Courier New" w:hAnsi="Courier New"/>
          <w:color w:val="202020"/>
          <w:sz w:val="18"/>
        </w:rPr>
        <w:t>O1. BB BAND TOUCH: Price touching BB lower (long) or BB upper (short)</w:t>
      </w:r>
    </w:p>
    <w:p>
      <w:pPr>
        <w:pStyle w:val="NoSpacing"/>
        <w:shd w:val="clear" w:color="auto" w:fill="F0F0F0"/>
      </w:pPr>
      <w:r>
        <w:rPr>
          <w:rFonts w:ascii="Courier New" w:hAnsi="Courier New"/>
          <w:color w:val="202020"/>
          <w:sz w:val="18"/>
        </w:rPr>
        <w:t>O2. SESSION: Active session (not dead hours)</w:t>
      </w:r>
    </w:p>
    <w:p>
      <w:pPr>
        <w:pStyle w:val="NoSpacing"/>
        <w:shd w:val="clear" w:color="auto" w:fill="F0F0F0"/>
      </w:pPr>
      <w:r>
        <w:rPr>
          <w:rFonts w:ascii="Courier New" w:hAnsi="Courier New"/>
          <w:color w:val="202020"/>
          <w:sz w:val="18"/>
        </w:rPr>
        <w:t>O3. WICK RATIO ≥ 0.6: Stronger rejection (above minimum 0.4 threshold)</w:t>
      </w:r>
    </w:p>
    <w:p>
      <w:pPr>
        <w:pStyle w:val="Heading2"/>
      </w:pPr>
      <w:r>
        <w:t>§4.5  Confidence Scoring</w:t>
      </w:r>
    </w:p>
    <w:p>
      <w:pPr>
        <w:pStyle w:val="NoSpacing"/>
        <w:shd w:val="clear" w:color="auto" w:fill="F0F0F0"/>
      </w:pPr>
      <w:r>
        <w:rPr>
          <w:rFonts w:ascii="Courier New" w:hAnsi="Courier New"/>
          <w:color w:val="202020"/>
          <w:sz w:val="18"/>
        </w:rPr>
        <w:t>Rule weights: M1=3, M2=3, M3=3, S1=2, S2=2, S3=2, O1=1, O2=1, O3=1</w:t>
      </w:r>
    </w:p>
    <w:p>
      <w:pPr>
        <w:pStyle w:val="NoSpacing"/>
        <w:shd w:val="clear" w:color="auto" w:fill="F0F0F0"/>
      </w:pPr>
      <w:r>
        <w:rPr>
          <w:rFonts w:ascii="Courier New" w:hAnsi="Courier New"/>
          <w:color w:val="202020"/>
          <w:sz w:val="18"/>
        </w:rPr>
        <w:t>Max score = 18</w:t>
      </w:r>
    </w:p>
    <w:p>
      <w:pPr>
        <w:pStyle w:val="NoSpacing"/>
        <w:shd w:val="clear" w:color="auto" w:fill="F0F0F0"/>
      </w:pPr>
      <w:r>
        <w:rPr>
          <w:rFonts w:ascii="Courier New" w:hAnsi="Courier New"/>
          <w:color w:val="202020"/>
          <w:sz w:val="18"/>
        </w:rPr>
        <w:t>confidence = 0.0 if M1 OR M2 OR M3 fails</w:t>
      </w:r>
    </w:p>
    <w:p>
      <w:r>
        <w:rPr>
          <w:b w:val="0"/>
          <w:i/>
          <w:sz w:val="18"/>
        </w:rPr>
        <w:t>WEAK_TREND caution: If regime is WEAK_TREND, cap confidence at 0.65 regardless of score.</w:t>
      </w:r>
    </w:p>
    <w:p>
      <w:pPr>
        <w:pStyle w:val="Heading2"/>
      </w:pPr>
      <w:r>
        <w:t>§4.6  Entry &amp; Exit Parameters</w:t>
      </w:r>
    </w:p>
    <w:p>
      <w:pPr>
        <w:pStyle w:val="NoSpacing"/>
        <w:shd w:val="clear" w:color="auto" w:fill="F0F0F0"/>
      </w:pPr>
      <w:r>
        <w:rPr>
          <w:rFonts w:ascii="Courier New" w:hAnsi="Courier New"/>
          <w:color w:val="202020"/>
          <w:sz w:val="18"/>
        </w:rPr>
        <w:t>Entry:      Next bar open after rejection candle closes</w:t>
      </w:r>
    </w:p>
    <w:p>
      <w:pPr>
        <w:pStyle w:val="NoSpacing"/>
        <w:shd w:val="clear" w:color="auto" w:fill="F0F0F0"/>
      </w:pPr>
      <w:r>
        <w:rPr>
          <w:rFonts w:ascii="Courier New" w:hAnsi="Courier New"/>
          <w:color w:val="202020"/>
          <w:sz w:val="18"/>
        </w:rPr>
        <w:t>Stop Loss:  Beyond boundary + 0.5 × ATR(14)</w:t>
      </w:r>
    </w:p>
    <w:p>
      <w:pPr>
        <w:pStyle w:val="NoSpacing"/>
        <w:shd w:val="clear" w:color="auto" w:fill="F0F0F0"/>
      </w:pPr>
      <w:r>
        <w:rPr>
          <w:rFonts w:ascii="Courier New" w:hAnsi="Courier New"/>
          <w:color w:val="202020"/>
          <w:sz w:val="18"/>
        </w:rPr>
        <w:t xml:space="preserve">            Long SL: lower_boundary - 0.5×ATR</w:t>
      </w:r>
    </w:p>
    <w:p>
      <w:pPr>
        <w:pStyle w:val="NoSpacing"/>
        <w:shd w:val="clear" w:color="auto" w:fill="F0F0F0"/>
      </w:pPr>
      <w:r>
        <w:rPr>
          <w:rFonts w:ascii="Courier New" w:hAnsi="Courier New"/>
          <w:color w:val="202020"/>
          <w:sz w:val="18"/>
        </w:rPr>
        <w:t xml:space="preserve">            Short SL: upper_boundary + 0.5×ATR</w:t>
      </w:r>
    </w:p>
    <w:p>
      <w:pPr>
        <w:pStyle w:val="NoSpacing"/>
        <w:shd w:val="clear" w:color="auto" w:fill="F0F0F0"/>
      </w:pPr>
      <w:r>
        <w:rPr>
          <w:rFonts w:ascii="Courier New" w:hAnsi="Courier New"/>
          <w:color w:val="202020"/>
          <w:sz w:val="18"/>
        </w:rPr>
        <w:t>Target 1:   Range midpoint  →  close 50%</w:t>
      </w:r>
    </w:p>
    <w:p>
      <w:pPr>
        <w:pStyle w:val="NoSpacing"/>
        <w:shd w:val="clear" w:color="auto" w:fill="F0F0F0"/>
      </w:pPr>
      <w:r>
        <w:rPr>
          <w:rFonts w:ascii="Courier New" w:hAnsi="Courier New"/>
          <w:color w:val="202020"/>
          <w:sz w:val="18"/>
        </w:rPr>
        <w:t>Target 2:   Opposite boundary - 0.5×ATR  →  close remaining 50%</w:t>
      </w:r>
    </w:p>
    <w:p>
      <w:pPr>
        <w:pStyle w:val="NoSpacing"/>
        <w:shd w:val="clear" w:color="auto" w:fill="F0F0F0"/>
      </w:pPr>
      <w:r>
        <w:rPr>
          <w:rFonts w:ascii="Courier New" w:hAnsi="Courier New"/>
          <w:color w:val="202020"/>
          <w:sz w:val="18"/>
        </w:rPr>
        <w:t>Stop to BE: After Target 1 hit</w:t>
      </w:r>
    </w:p>
    <w:p>
      <w:pPr>
        <w:pStyle w:val="NoSpacing"/>
        <w:shd w:val="clear" w:color="auto" w:fill="F0F0F0"/>
      </w:pPr>
      <w:r>
        <w:rPr>
          <w:rFonts w:ascii="Courier New" w:hAnsi="Courier New"/>
          <w:color w:val="202020"/>
          <w:sz w:val="18"/>
        </w:rPr>
        <w:t>Time exit:  Close if no Target 1 within 25 bars</w:t>
      </w:r>
    </w:p>
    <w:p>
      <w:pPr>
        <w:pStyle w:val="NoSpacing"/>
        <w:shd w:val="clear" w:color="auto" w:fill="F0F0F0"/>
      </w:pPr>
      <w:r>
        <w:rPr>
          <w:rFonts w:ascii="Courier New" w:hAnsi="Courier New"/>
          <w:color w:val="202020"/>
          <w:sz w:val="18"/>
        </w:rPr>
        <w:t>Invalidation: Close beyond boundary by &gt; 1.0×ATR → range broken, exit immediately</w:t>
      </w:r>
    </w:p>
    <w:p>
      <w:pPr>
        <w:pStyle w:val="Heading2"/>
      </w:pPr>
      <w:r>
        <w:t>§4.7  Output Signal Schema</w:t>
      </w:r>
    </w:p>
    <w:p>
      <w:pPr>
        <w:pStyle w:val="NoSpacing"/>
        <w:shd w:val="clear" w:color="auto" w:fill="F0F0F0"/>
      </w:pPr>
      <w:r>
        <w:rPr>
          <w:rFonts w:ascii="Courier New" w:hAnsi="Courier New"/>
          <w:color w:val="202020"/>
          <w:sz w:val="18"/>
        </w:rPr>
        <w:t>{</w:t>
      </w:r>
    </w:p>
    <w:p>
      <w:pPr>
        <w:pStyle w:val="NoSpacing"/>
        <w:shd w:val="clear" w:color="auto" w:fill="F0F0F0"/>
      </w:pPr>
      <w:r>
        <w:rPr>
          <w:rFonts w:ascii="Courier New" w:hAnsi="Courier New"/>
          <w:color w:val="202020"/>
          <w:sz w:val="18"/>
        </w:rPr>
        <w:t xml:space="preserve">  "strategy_id": "RANGE_REVERSION",</w:t>
      </w:r>
    </w:p>
    <w:p>
      <w:pPr>
        <w:pStyle w:val="NoSpacing"/>
        <w:shd w:val="clear" w:color="auto" w:fill="F0F0F0"/>
      </w:pPr>
      <w:r>
        <w:rPr>
          <w:rFonts w:ascii="Courier New" w:hAnsi="Courier New"/>
          <w:color w:val="202020"/>
          <w:sz w:val="18"/>
        </w:rPr>
        <w:t xml:space="preserve">  "direction": "long" | "short",</w:t>
      </w:r>
    </w:p>
    <w:p>
      <w:pPr>
        <w:pStyle w:val="NoSpacing"/>
        <w:shd w:val="clear" w:color="auto" w:fill="F0F0F0"/>
      </w:pPr>
      <w:r>
        <w:rPr>
          <w:rFonts w:ascii="Courier New" w:hAnsi="Courier New"/>
          <w:color w:val="202020"/>
          <w:sz w:val="18"/>
        </w:rPr>
        <w:t xml:space="preserve">  "entry": float,</w:t>
      </w:r>
    </w:p>
    <w:p>
      <w:pPr>
        <w:pStyle w:val="NoSpacing"/>
        <w:shd w:val="clear" w:color="auto" w:fill="F0F0F0"/>
      </w:pPr>
      <w:r>
        <w:rPr>
          <w:rFonts w:ascii="Courier New" w:hAnsi="Courier New"/>
          <w:color w:val="202020"/>
          <w:sz w:val="18"/>
        </w:rPr>
        <w:t xml:space="preserve">  "stop_loss": float,</w:t>
      </w:r>
    </w:p>
    <w:p>
      <w:pPr>
        <w:pStyle w:val="NoSpacing"/>
        <w:shd w:val="clear" w:color="auto" w:fill="F0F0F0"/>
      </w:pPr>
      <w:r>
        <w:rPr>
          <w:rFonts w:ascii="Courier New" w:hAnsi="Courier New"/>
          <w:color w:val="202020"/>
          <w:sz w:val="18"/>
        </w:rPr>
        <w:t xml:space="preserve">  "target_1": float,   // range midpoint</w:t>
      </w:r>
    </w:p>
    <w:p>
      <w:pPr>
        <w:pStyle w:val="NoSpacing"/>
        <w:shd w:val="clear" w:color="auto" w:fill="F0F0F0"/>
      </w:pPr>
      <w:r>
        <w:rPr>
          <w:rFonts w:ascii="Courier New" w:hAnsi="Courier New"/>
          <w:color w:val="202020"/>
          <w:sz w:val="18"/>
        </w:rPr>
        <w:t xml:space="preserve">  "target_2": float,   // opposite boundary</w:t>
      </w:r>
    </w:p>
    <w:p>
      <w:pPr>
        <w:pStyle w:val="NoSpacing"/>
        <w:shd w:val="clear" w:color="auto" w:fill="F0F0F0"/>
      </w:pPr>
      <w:r>
        <w:rPr>
          <w:rFonts w:ascii="Courier New" w:hAnsi="Courier New"/>
          <w:color w:val="202020"/>
          <w:sz w:val="18"/>
        </w:rPr>
        <w:t xml:space="preserve">  "confidence": 0.0–1.0,</w:t>
      </w:r>
    </w:p>
    <w:p>
      <w:pPr>
        <w:pStyle w:val="NoSpacing"/>
        <w:shd w:val="clear" w:color="auto" w:fill="F0F0F0"/>
      </w:pPr>
      <w:r>
        <w:rPr>
          <w:rFonts w:ascii="Courier New" w:hAnsi="Courier New"/>
          <w:color w:val="202020"/>
          <w:sz w:val="18"/>
        </w:rPr>
        <w:t xml:space="preserve">  "range_upper": float,</w:t>
      </w:r>
    </w:p>
    <w:p>
      <w:pPr>
        <w:pStyle w:val="NoSpacing"/>
        <w:shd w:val="clear" w:color="auto" w:fill="F0F0F0"/>
      </w:pPr>
      <w:r>
        <w:rPr>
          <w:rFonts w:ascii="Courier New" w:hAnsi="Courier New"/>
          <w:color w:val="202020"/>
          <w:sz w:val="18"/>
        </w:rPr>
        <w:t xml:space="preserve">  "range_lower": float,</w:t>
      </w:r>
    </w:p>
    <w:p>
      <w:pPr>
        <w:pStyle w:val="NoSpacing"/>
        <w:shd w:val="clear" w:color="auto" w:fill="F0F0F0"/>
      </w:pPr>
      <w:r>
        <w:rPr>
          <w:rFonts w:ascii="Courier New" w:hAnsi="Courier New"/>
          <w:color w:val="202020"/>
          <w:sz w:val="18"/>
        </w:rPr>
        <w:t xml:space="preserve">  "range_midpoint": float,</w:t>
      </w:r>
    </w:p>
    <w:p>
      <w:pPr>
        <w:pStyle w:val="NoSpacing"/>
        <w:shd w:val="clear" w:color="auto" w:fill="F0F0F0"/>
      </w:pPr>
      <w:r>
        <w:rPr>
          <w:rFonts w:ascii="Courier New" w:hAnsi="Courier New"/>
          <w:color w:val="202020"/>
          <w:sz w:val="18"/>
        </w:rPr>
        <w:t xml:space="preserve">  "regime": "RANGE" | "WEAK_TREND",</w:t>
      </w:r>
    </w:p>
    <w:p>
      <w:pPr>
        <w:pStyle w:val="NoSpacing"/>
        <w:shd w:val="clear" w:color="auto" w:fill="F0F0F0"/>
      </w:pPr>
      <w:r>
        <w:rPr>
          <w:rFonts w:ascii="Courier New" w:hAnsi="Courier New"/>
          <w:color w:val="202020"/>
          <w:sz w:val="18"/>
        </w:rPr>
        <w:t xml:space="preserve">  "rules_passed": [...],</w:t>
      </w:r>
    </w:p>
    <w:p>
      <w:pPr>
        <w:pStyle w:val="NoSpacing"/>
        <w:shd w:val="clear" w:color="auto" w:fill="F0F0F0"/>
      </w:pPr>
      <w:r>
        <w:rPr>
          <w:rFonts w:ascii="Courier New" w:hAnsi="Courier New"/>
          <w:color w:val="202020"/>
          <w:sz w:val="18"/>
        </w:rPr>
        <w:t xml:space="preserve">  "rules_failed": [...],</w:t>
      </w:r>
    </w:p>
    <w:p>
      <w:pPr>
        <w:pStyle w:val="NoSpacing"/>
        <w:shd w:val="clear" w:color="auto" w:fill="F0F0F0"/>
      </w:pPr>
      <w:r>
        <w:rPr>
          <w:rFonts w:ascii="Courier New" w:hAnsi="Courier New"/>
          <w:color w:val="202020"/>
          <w:sz w:val="18"/>
        </w:rPr>
        <w:t xml:space="preserve">  "timeframe": string,</w:t>
      </w:r>
    </w:p>
    <w:p>
      <w:pPr>
        <w:pStyle w:val="NoSpacing"/>
        <w:shd w:val="clear" w:color="auto" w:fill="F0F0F0"/>
      </w:pPr>
      <w:r>
        <w:rPr>
          <w:rFonts w:ascii="Courier New" w:hAnsi="Courier New"/>
          <w:color w:val="202020"/>
          <w:sz w:val="18"/>
        </w:rPr>
        <w:t xml:space="preserve">  "timestamp": ISO8601</w:t>
      </w:r>
    </w:p>
    <w:p>
      <w:pPr>
        <w:pStyle w:val="NoSpacing"/>
        <w:shd w:val="clear" w:color="auto" w:fill="F0F0F0"/>
      </w:pPr>
      <w:r>
        <w:rPr>
          <w:rFonts w:ascii="Courier New" w:hAnsi="Courier New"/>
          <w:color w:val="202020"/>
          <w:sz w:val="18"/>
        </w:rPr>
        <w:t>}</w:t>
      </w:r>
    </w:p>
    <w:p>
      <w:r>
        <w:br w:type="page"/>
      </w:r>
    </w:p>
    <w:p>
      <w:pPr>
        <w:pStyle w:val="Heading2"/>
      </w:pPr>
      <w:r>
        <w:t>Document Notes</w:t>
      </w:r>
    </w:p>
    <w:p>
      <w:r>
        <w:rPr>
          <w:b/>
          <w:i w:val="0"/>
          <w:sz w:val="20"/>
        </w:rPr>
        <w:t>This is Part 1 of 3 of the Phantom Strategy Specification.</w:t>
      </w:r>
    </w:p>
    <w:p>
      <w:r>
        <w:rPr>
          <w:b w:val="0"/>
          <w:i w:val="0"/>
          <w:sz w:val="20"/>
        </w:rPr>
        <w:t>Part 2A covers: §5 MEAN_REVERT_BAND · §6 VOL_COMPRESS_BREAK · §7 ORB · §8 MOMENTUM_CONT · §9 Conflict Resolution</w:t>
      </w:r>
    </w:p>
    <w:p>
      <w:r>
        <w:rPr>
          <w:b w:val="0"/>
          <w:i w:val="0"/>
          <w:sz w:val="20"/>
        </w:rPr>
        <w:t>Part 2B covers: §10 User Config · §11 TypeScript Pseudocode · §12 Quick Reference &amp; Implementation Checklist</w:t>
      </w:r>
    </w:p>
    <w:p>
      <w:r>
        <w:rPr>
          <w:b w:val="0"/>
          <w:i/>
          <w:sz w:val="18"/>
        </w:rPr>
        <w:t>Version 1.0 — All critical gaps resolved. Production-ready for code generation.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