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B87"/>
          <w:sz w:val="56"/>
        </w:rPr>
        <w:br/>
        <w:br/>
        <w:br/>
        <w:t>Definition of Done</w:t>
      </w:r>
    </w:p>
    <w:p>
      <w:pPr>
        <w:jc w:val="center"/>
      </w:pPr>
      <w:r>
        <w:rPr>
          <w:i/>
          <w:sz w:val="28"/>
        </w:rPr>
        <w:t>AI Applications on Microsoft Azure — engagement closeout</w:t>
      </w:r>
    </w:p>
    <w:p>
      <w:r>
        <w:rPr>
          <w:i/>
        </w:rPr>
        <w:br/>
        <w:br/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Delivery quality lead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 (template)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yyyy-mm-dd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4B87"/>
        </w:rPr>
        <w:t>Table of contents</w:t>
      </w:r>
    </w:p>
    <w:p>
      <w:r>
        <w:t>1. Delivery artefacts</w:t>
      </w:r>
    </w:p>
    <w:p>
      <w:r>
        <w:t>2. Quality gates</w:t>
      </w:r>
    </w:p>
    <w:p>
      <w:r>
        <w:t>3. Operational handover</w:t>
      </w:r>
    </w:p>
    <w:p>
      <w:r>
        <w:t>4. Commercial closeout</w:t>
      </w:r>
    </w:p>
    <w:p>
      <w:r>
        <w:t>5. Innersource closeout</w:t>
      </w:r>
    </w:p>
    <w:p>
      <w:r>
        <w:t>6. Sign-off</w:t>
      </w:r>
    </w:p>
    <w:p>
      <w:r>
        <w:br w:type="page"/>
      </w:r>
    </w:p>
    <w:p>
      <w:pPr>
        <w:pStyle w:val="Heading1"/>
      </w:pPr>
      <w:r>
        <w:rPr>
          <w:color w:val="004B87"/>
        </w:rPr>
        <w:t>Delivery artefacts</w:t>
      </w:r>
    </w:p>
    <w:p>
      <w:r>
        <w:rPr>
          <w:i/>
          <w:color w:val="555555"/>
        </w:rPr>
        <w:t>Signed HLD filed against the engagement</w:t>
      </w:r>
    </w:p>
    <w:p/>
    <w:p>
      <w:r>
        <w:rPr>
          <w:i/>
          <w:color w:val="555555"/>
        </w:rPr>
        <w:t>Signed LLD filed against the engagement</w:t>
      </w:r>
    </w:p>
    <w:p/>
    <w:p>
      <w:r>
        <w:rPr>
          <w:i/>
          <w:color w:val="555555"/>
        </w:rPr>
        <w:t>Runbook delivered and walked through with customer ops</w:t>
      </w:r>
    </w:p>
    <w:p/>
    <w:p>
      <w:r>
        <w:rPr>
          <w:i/>
          <w:color w:val="555555"/>
        </w:rPr>
        <w:t>KT plan executed; sessions recorded and indexed</w:t>
      </w:r>
    </w:p>
    <w:p/>
    <w:p>
      <w:r>
        <w:rPr>
          <w:i/>
          <w:color w:val="555555"/>
        </w:rPr>
        <w:t>Hypercare plan agreed, with start and end dates</w:t>
      </w:r>
    </w:p>
    <w:p/>
    <w:p/>
    <w:p>
      <w:pPr>
        <w:pStyle w:val="Heading1"/>
      </w:pPr>
      <w:r>
        <w:rPr>
          <w:color w:val="004B87"/>
        </w:rPr>
        <w:t>Quality gates</w:t>
      </w:r>
    </w:p>
    <w:p>
      <w:r>
        <w:rPr>
          <w:i/>
          <w:color w:val="555555"/>
        </w:rPr>
        <w:t>WAF assessment re-run pre go-live; all Critical findings remediated or formally accepted</w:t>
      </w:r>
    </w:p>
    <w:p/>
    <w:p>
      <w:r>
        <w:rPr>
          <w:i/>
          <w:color w:val="555555"/>
        </w:rPr>
        <w:t>Responsible AI checklist signed off by named accountable owner</w:t>
      </w:r>
    </w:p>
    <w:p/>
    <w:p>
      <w:r>
        <w:rPr>
          <w:i/>
          <w:color w:val="555555"/>
        </w:rPr>
        <w:t>Eval dataset run on production model deployment; quality target met</w:t>
      </w:r>
    </w:p>
    <w:p/>
    <w:p>
      <w:r>
        <w:rPr>
          <w:i/>
          <w:color w:val="555555"/>
        </w:rPr>
        <w:t>Load / performance test executed against agreed SLO</w:t>
      </w:r>
    </w:p>
    <w:p/>
    <w:p>
      <w:r>
        <w:rPr>
          <w:i/>
          <w:color w:val="555555"/>
        </w:rPr>
        <w:t>Security review or pen test completed (where in scope)</w:t>
      </w:r>
    </w:p>
    <w:p/>
    <w:p/>
    <w:p>
      <w:pPr>
        <w:pStyle w:val="Heading1"/>
      </w:pPr>
      <w:r>
        <w:rPr>
          <w:color w:val="004B87"/>
        </w:rPr>
        <w:t>Operational handover</w:t>
      </w:r>
    </w:p>
    <w:p>
      <w:r>
        <w:rPr>
          <w:i/>
          <w:color w:val="555555"/>
        </w:rPr>
        <w:t>Production access reduced to least privilege; engagement team off break-glass</w:t>
      </w:r>
    </w:p>
    <w:p/>
    <w:p>
      <w:r>
        <w:rPr>
          <w:i/>
          <w:color w:val="555555"/>
        </w:rPr>
        <w:t>Alerts wired to customer's on-call; tested with synthetic incident</w:t>
      </w:r>
    </w:p>
    <w:p/>
    <w:p>
      <w:r>
        <w:rPr>
          <w:i/>
          <w:color w:val="555555"/>
        </w:rPr>
        <w:t>Cost alerts configured against the agreed budget</w:t>
      </w:r>
    </w:p>
    <w:p/>
    <w:p>
      <w:r>
        <w:rPr>
          <w:i/>
          <w:color w:val="555555"/>
        </w:rPr>
        <w:t>Prompt / model change-control process documented in the runbook</w:t>
      </w:r>
    </w:p>
    <w:p/>
    <w:p>
      <w:r>
        <w:rPr>
          <w:i/>
          <w:color w:val="555555"/>
        </w:rPr>
        <w:t>Backup, restore, and DR validated (or formally scoped out)</w:t>
      </w:r>
    </w:p>
    <w:p/>
    <w:p/>
    <w:p>
      <w:pPr>
        <w:pStyle w:val="Heading1"/>
      </w:pPr>
      <w:r>
        <w:rPr>
          <w:color w:val="004B87"/>
        </w:rPr>
        <w:t>Commercial closeout</w:t>
      </w:r>
    </w:p>
    <w:p>
      <w:r>
        <w:rPr>
          <w:i/>
          <w:color w:val="555555"/>
        </w:rPr>
        <w:t>Final invoice issued and acknowledged</w:t>
      </w:r>
    </w:p>
    <w:p/>
    <w:p>
      <w:r>
        <w:rPr>
          <w:i/>
          <w:color w:val="555555"/>
        </w:rPr>
        <w:t>CSAT captured (target ≥ 8 / 10)</w:t>
      </w:r>
    </w:p>
    <w:p/>
    <w:p>
      <w:r>
        <w:rPr>
          <w:i/>
          <w:color w:val="555555"/>
        </w:rPr>
        <w:t>Reference customer status agreed</w:t>
      </w:r>
    </w:p>
    <w:p/>
    <w:p>
      <w:r>
        <w:rPr>
          <w:i/>
          <w:color w:val="555555"/>
        </w:rPr>
        <w:t>Case study draft (anonymised) within 30 days</w:t>
      </w:r>
    </w:p>
    <w:p/>
    <w:p/>
    <w:p>
      <w:pPr>
        <w:pStyle w:val="Heading1"/>
      </w:pPr>
      <w:r>
        <w:rPr>
          <w:color w:val="004B87"/>
        </w:rPr>
        <w:t>Innersource closeout</w:t>
      </w:r>
    </w:p>
    <w:p>
      <w:r>
        <w:rPr>
          <w:i/>
          <w:color w:val="555555"/>
        </w:rPr>
        <w:t>At least one lesson-learned issue raised in the toolkit repo</w:t>
      </w:r>
    </w:p>
    <w:p/>
    <w:p>
      <w:r>
        <w:rPr>
          <w:i/>
          <w:color w:val="555555"/>
        </w:rPr>
        <w:t>Any template improvement promoted to a PR</w:t>
      </w:r>
    </w:p>
    <w:p/>
    <w:p>
      <w:r>
        <w:rPr>
          <w:i/>
          <w:color w:val="555555"/>
        </w:rPr>
        <w:t>Engagement folder archived per retention policy</w:t>
      </w:r>
    </w:p>
    <w:p/>
    <w:p/>
    <w:p>
      <w:pPr>
        <w:pStyle w:val="Heading1"/>
      </w:pPr>
      <w:r>
        <w:rPr>
          <w:color w:val="004B87"/>
        </w:rPr>
        <w:t>Sign-off</w:t>
      </w:r>
    </w:p>
    <w:p>
      <w:r>
        <w:rPr>
          <w:i/>
          <w:color w:val="555555"/>
        </w:rPr>
        <w:t>Customer sponsor name + signature + date:</w:t>
      </w:r>
    </w:p>
    <w:p/>
    <w:p>
      <w:r>
        <w:rPr>
          <w:i/>
          <w:color w:val="555555"/>
        </w:rPr>
        <w:t>Engagement lead name + signature + date: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