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40"/>
        </w:rPr>
        <w:t>Contoso Financial Services (CFS)</w:t>
        <w:br/>
        <w:t>Module B Evidence Artifact</w:t>
      </w:r>
    </w:p>
    <w:p>
      <w:pPr>
        <w:jc w:val="center"/>
      </w:pPr>
      <w:r>
        <w:rPr>
          <w:b/>
          <w:color w:val="1F3864"/>
          <w:sz w:val="28"/>
        </w:rPr>
        <w:t>B.2.1 — Solution Design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B2.1_SolutionDesign_CFS_v1.docx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ID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B.2.1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Name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Solution Design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Contoso Financial Services (CFS)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Regulated EU Fintech (PSD2 / DORA / GDPR)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 Central (swedencentral)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IaC Stack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Bicep (primary) / Terraform AVM (alternate)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&lt;&lt;Partner Name&gt;&gt;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Reviewed By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&lt;&lt;Reviewer Name&gt;&gt;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&lt;&lt;YYYY-MM-DD&gt;&gt;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v1</w:t>
            </w:r>
          </w:p>
        </w:tc>
      </w:tr>
      <w:tr>
        <w:tc>
          <w:tcPr>
            <w:tcW w:type="dxa" w:w="2835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669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  <w:shd w:val="clear" w:color="auto" w:fill="FFF2CC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DRAFT — Complete all highlighted / &lt;&lt; &gt;&gt; sections</w:t>
            </w:r>
          </w:p>
        </w:tc>
      </w:tr>
    </w:tbl>
    <w:p/>
    <w:p>
      <w:pPr>
        <w:spacing w:after="240"/>
      </w:pPr>
      <w:r>
        <w:rPr>
          <w:color w:val="7F3F00"/>
          <w:sz w:val="18"/>
        </w:rPr>
        <w:t>📋 INSTRUCTIONS: This template is pre-seeded with CFS scenario context. Complete all sections marked with &lt;&lt; &gt;&gt; or highlighted in yellow. Do NOT alter section headers or control mappings. Save completed document as evidence-output/&lt;filename&gt;.</w:t>
      </w:r>
    </w:p>
    <w:p>
      <w:r>
        <w:br w:type="page"/>
      </w:r>
    </w:p>
    <w:p>
      <w:pPr>
        <w:pStyle w:val="Heading1"/>
      </w:pPr>
      <w:r>
        <w:rPr>
          <w:color w:val="0070C0"/>
        </w:rPr>
        <w:t>1. Executive Summary</w:t>
      </w:r>
    </w:p>
    <w:p>
      <w:r>
        <w:t>This document describes the network architecture solution designed for Contoso Financial Services (CFS), a regulated EU fintech operating under DORA, GDPR, and PCI-DSS. The solution implements a secure Hub &amp; Spoke landing zone in Azure Sweden Central, providing private networking, centralized security inspection, hybrid connectivity, and global application delivery. This document satisfies the Module B control B.2.1 (Solution Design) evidence requirement.</w:t>
      </w:r>
    </w:p>
    <w:p>
      <w:r>
        <w:t>Key design principles: Zero Trust networking, private-by-default PaaS access, single egress via Azure Firewall, WAF-protected application delivery, and infrastructure-as-code reproducibility.</w:t>
      </w:r>
    </w:p>
    <w:p>
      <w:pPr>
        <w:pStyle w:val="Heading1"/>
      </w:pPr>
      <w:r>
        <w:rPr>
          <w:color w:val="0070C0"/>
        </w:rPr>
        <w:t>2. Customer Context &amp; Business Requirements</w:t>
      </w:r>
    </w:p>
    <w:p>
      <w:pPr>
        <w:pStyle w:val="Heading2"/>
      </w:pPr>
      <w:r>
        <w:rPr>
          <w:color w:val="0070C0"/>
        </w:rPr>
        <w:t>2.1 Customer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Contoso Financial Services (CFS)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Regulated EU Fintech — Payments, FX, Digital Banking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Regulations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DORA (EU 2022/2554), GDPR, PCI-DSS 4.0, NIS2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Data Classification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Financial PII (Sensitive) — highest classification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Existing Infrastructure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On-premises data centre (Stockholm) + 2 branch offices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Azure Subscription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Pay-As-You-Go / EA (participant owns subscription)</w:t>
            </w:r>
          </w:p>
        </w:tc>
      </w:tr>
      <w:tr>
        <w:tc>
          <w:tcPr>
            <w:tcW w:type="dxa" w:w="4514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Scenarios in Scope</w:t>
            </w:r>
          </w:p>
        </w:tc>
        <w:tc>
          <w:tcPr>
            <w:tcW w:type="dxa" w:w="4514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#1 Secure network infrastructure  |  #2 Hybrid connectivity  |  #4 Global app delivery</w:t>
            </w:r>
          </w:p>
        </w:tc>
      </w:tr>
    </w:tbl>
    <w:p/>
    <w:p>
      <w:pPr>
        <w:pStyle w:val="Heading2"/>
      </w:pPr>
      <w:r>
        <w:rPr>
          <w:color w:val="0070C0"/>
        </w:rPr>
        <w:t>2.2 Scenario Descriptions</w:t>
      </w:r>
    </w:p>
    <w:p>
      <w:pPr>
        <w:pStyle w:val="Heading3"/>
      </w:pPr>
      <w:r>
        <w:rPr>
          <w:color w:val="0070C0"/>
        </w:rPr>
        <w:t>Scenario #1 — Secure Network Infrastructure</w:t>
      </w:r>
    </w:p>
    <w:p>
      <w:r>
        <w:t>CFS requires a private, segmented Azure network where all compute has no public IP, PaaS services are accessed only via Private Endpoints, and a central Azure Firewall enforces egress policy and east-west segmentation.</w:t>
      </w:r>
    </w:p>
    <w:p>
      <w:pPr>
        <w:pStyle w:val="Heading3"/>
      </w:pPr>
      <w:r>
        <w:rPr>
          <w:color w:val="0070C0"/>
        </w:rPr>
        <w:t>Scenario #2 — On-Premises / Branch Connectivity</w:t>
      </w:r>
    </w:p>
    <w:p>
      <w:r>
        <w:t>CFS Stockholm data centre and branch offices must connect to Azure via encrypted VPN (or ExpressRoute in production). All hybrid traffic must traverse the hub VNet for security inspection.</w:t>
      </w:r>
    </w:p>
    <w:p>
      <w:pPr>
        <w:pStyle w:val="Heading3"/>
      </w:pPr>
      <w:r>
        <w:rPr>
          <w:color w:val="0070C0"/>
        </w:rPr>
        <w:t>Scenario #4 — Secure Global Application Delivery</w:t>
      </w:r>
    </w:p>
    <w:p>
      <w:r>
        <w:t>CFS web-facing services must be delivered globally via Azure Front Door with WAF, routed to an Application Gateway + WAF inside the spoke, protecting against OWASP Top 10 and DDoS attacks.</w:t>
      </w:r>
    </w:p>
    <w:p>
      <w:pPr>
        <w:pStyle w:val="Heading1"/>
      </w:pPr>
      <w:r>
        <w:rPr>
          <w:color w:val="0070C0"/>
        </w:rPr>
        <w:t>3. Architecture Overview</w:t>
      </w:r>
    </w:p>
    <w:p>
      <w:r>
        <w:t>The solution follows the Microsoft Cloud Adoption Framework (CAF) Hub &amp; Spoke topology and the Azure Landing Zone (ALZ) Accelerator pattern. All resources are deployed via Bicep Infrastructure-as-Code using Azure Verified Modules (AVM).</w:t>
      </w:r>
    </w:p>
    <w:p>
      <w:pPr>
        <w:pStyle w:val="Heading2"/>
      </w:pPr>
      <w:r>
        <w:rPr>
          <w:color w:val="0070C0"/>
        </w:rPr>
        <w:t>3.1 Network Topology</w:t>
      </w:r>
    </w:p>
    <w:p>
      <w:r>
        <w:t>[Refer to diagram: diagrams/hub-spoke-architecture.svg]</w:t>
        <w:br/>
        <w:br/>
        <w:t>The topology consists of:</w:t>
        <w:br/>
        <w:t>• Hub VNet (cfs-hub-vnet-swc, 10.0.0.0/16): Contains Azure Firewall, Azure Bastion, VPN/VWAN Gateway, and Log Analytics Workspace.</w:t>
        <w:br/>
        <w:t>• Workload Spoke VNet (cfs-app-vnet-swc, 10.1.0.0/16): Contains Private Endpoints, Internal Load Balancer, Application Gateway + WAF, and private compute (no public IP).</w:t>
        <w:br/>
        <w:t>• VNet Peering: Bidirectional peering between hub and spoke; Gateway Transit enabled on hub.</w:t>
        <w:br/>
        <w:t>• Global Edge: Azure Front Door Standard + WAF in front of App Gateway for global delivery.</w:t>
      </w:r>
    </w:p>
    <w:p>
      <w:pPr>
        <w:pStyle w:val="Heading2"/>
      </w:pPr>
      <w:r>
        <w:rPr>
          <w:color w:val="0070C0"/>
        </w:rPr>
        <w:t>3.2 Subnet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VNet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Subnet Name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CIDR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NSG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cfs-hub-vnet-swc (10.0.0.0/16)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AzureFirewallSubnet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10.0.0.0/26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Firewall (required /26 minimum)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 (Firewall has own policy)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AzureBastionSubnet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10.0.1.0/26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Bastion (required name)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BastionNSG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GatewaySubnet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10.0.2.0/27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VPN / VWAN Gateway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None (Gateway subnet restriction)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ManagementSubnet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10.0.3.0/24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Management tooling, Log Analytics PE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mgmt-nsg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cfs-app-vnet-swc (10.1.0.0/16)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10.1.0.0/24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compute (VMs/VMSS) — no public IP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app-nsg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PrivateEndpointSubnet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10.1.1.0/24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 Endpoints (KV, Storage, SQL)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pe-nsg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AppGatewaySubnet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10.1.2.0/24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Gateway v2 (requires dedicated subnet)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agw-nsg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ILBSubnet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10.1.3.0/24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Load Balancer frontend IP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ilb-nsg</w:t>
            </w:r>
          </w:p>
        </w:tc>
      </w:tr>
    </w:tbl>
    <w:p/>
    <w:p>
      <w:pPr>
        <w:pStyle w:val="Heading1"/>
      </w:pPr>
      <w:r>
        <w:rPr>
          <w:color w:val="0070C0"/>
        </w:rPr>
        <w:t>4. Azure Service Selection &amp; Rationale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Ref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Rationale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Deployment Location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Key Config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Virtual Network + VNet Peering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B.3.1 / 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Core network isolation. Hub &amp; Spoke peering with Gateway Transit and UseRemoteGateway flags enables centralized routing.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Hub: 10.0.0.0/16 | Spoke: 10.1.0.0/16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Firewall (Standard)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egress for all spoke traffic. FQDN-based application rules + network rules. Threat Intelligence enabled.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 (hub)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cfs-hub-fw-swc | SKU: Standard | AZs: 1,2,3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Bastion (Standard)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 browser-based RDP/SSH. No public IP on any compute. Supports native client and IP-based connection.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 (hub)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cfs-hub-bas-swc | SKU: Standard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VPN Gateway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Site-to-site encrypted connectivity to CFS on-prem. IKEv2 + BGP. ExpressRoute is the production recommendation.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 (hub)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cfs-hub-vpng-swc | SKU: VpnGw1 | Active-Active: recommended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 Link / Private Endpoints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 access to Key Vault, Storage Account, Azure SQL. Public endpoint disabled. Private DNS zones auto-registered.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 (spoke)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PEs in cfs-app-vnet-swc/PrivateEndpointSubnet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Load Balancer (Standard)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L4 TCP load balancing across backend compute pool. Standard SKU required for AZ support.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 (spoke)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cfs-app-ilb-swc | Frontend: 10.1.3.4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Application Gateway v2 + WAF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L7 reverse proxy with WAF. OWASP 3.2 in Prevention mode. TLS termination. Zone-redundant.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 (spoke)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cfs-app-agw-swc | SKU: WAF_v2 | WAF: Prevention mode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Front Door Standard + WAF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Global anycast HTTP/S delivery. WAF policy. Health-based routing to App Gateway origin.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Global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cfs-edge-afd-swc | Origin: App Gateway listener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 Analytics Workspace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B.3.1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Central telemetry store. All network diagnostics, NSG flow logs, Firewall logs sent here.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 (hub)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cfs-hub-law-swc | Retention: 90 days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NSG + Flow Logs v2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B.3.1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Network security group per subnet. Flow Logs v2 + Traffic Analytics for SOC visibility.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swedencentral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subnets: dedicated NSG with flow logs enabled</w:t>
            </w:r>
          </w:p>
        </w:tc>
      </w:tr>
    </w:tbl>
    <w:p/>
    <w:p>
      <w:pPr>
        <w:pStyle w:val="Heading1"/>
      </w:pPr>
      <w:r>
        <w:rPr>
          <w:color w:val="0070C0"/>
        </w:rPr>
        <w:t>5. IP Addressing Plan</w:t>
      </w:r>
    </w:p>
    <w:p>
      <w:r>
        <w:t>All address spaces use RFC 1918 private ranges. No overlap with existing CFS on-premises ranges (172.16.0.0/12).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Address Space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Gateway / Next Hop</w:t>
            </w:r>
          </w:p>
        </w:tc>
        <w:tc>
          <w:tcPr>
            <w:tcW w:type="dxa" w:w="1806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VNet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10.0.0.0/16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network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3 /24 subnets + system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AzureFirewallSubnet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10.0.0.0/26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Firewall (mandatory /26)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Firewall requires /26 min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AzureBastionSubnet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10.0.1.0/26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Bastion (mandatory /26)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 be named exactly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GatewaySubnet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10.0.2.0/27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VPN Gateway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Must be named GatewaySubnet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ManagementSubnet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10.0.3.0/24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Management tooling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10.0.0.4 (FW)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Route: 0.0.0.0/0 → FW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Spoke VNet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10.1.0.0/16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Workload network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10.0.0.4 (FW via UDR)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Peered to hub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10.1.0.0/24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Compute VMs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10.0.0.4 (FW UDR)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UDR: all egress → FW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PrivateEndpointSubnet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10.1.1.0/24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 Endpoints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10.0.0.4 (FW UDR)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PE DNS auto-registration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AppGatewaySubnet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10.1.2.0/24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 Gateway v2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UDR allowed on AGW subnet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ILBSubnet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10.1.3.0/24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Internal LB frontend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ILB frontend: 10.1.3.4</w:t>
            </w:r>
          </w:p>
        </w:tc>
      </w:tr>
      <w:tr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On-premises (simulated)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172.16.0.0/12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 on-prem / branches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VPN Gateway</w:t>
            </w:r>
          </w:p>
        </w:tc>
        <w:tc>
          <w:tcPr>
            <w:tcW w:type="dxa" w:w="1806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Advertised via BGP</w:t>
            </w:r>
          </w:p>
        </w:tc>
      </w:tr>
    </w:tbl>
    <w:p/>
    <w:p>
      <w:pPr>
        <w:pStyle w:val="Heading1"/>
      </w:pPr>
      <w:r>
        <w:rPr>
          <w:color w:val="0070C0"/>
        </w:rPr>
        <w:t>6. Security Design</w:t>
      </w:r>
    </w:p>
    <w:p>
      <w:pPr>
        <w:pStyle w:val="Heading2"/>
      </w:pPr>
      <w:r>
        <w:rPr>
          <w:color w:val="0070C0"/>
        </w:rPr>
        <w:t>6.1 Zero Trust Network Principles Applied</w:t>
      </w:r>
    </w:p>
    <w:p>
      <w:pPr>
        <w:pStyle w:val="ListBullet"/>
      </w:pPr>
      <w:r>
        <w:rPr>
          <w:sz w:val="18"/>
        </w:rPr>
        <w:t>No compute VM has a public IP address — all admin access via Azure Bastion.</w:t>
      </w:r>
    </w:p>
    <w:p>
      <w:pPr>
        <w:pStyle w:val="ListBullet"/>
      </w:pPr>
      <w:r>
        <w:rPr>
          <w:sz w:val="18"/>
        </w:rPr>
        <w:t>All PaaS service public endpoints are disabled — access via Private Endpoints only.</w:t>
      </w:r>
    </w:p>
    <w:p>
      <w:pPr>
        <w:pStyle w:val="ListBullet"/>
      </w:pPr>
      <w:r>
        <w:rPr>
          <w:sz w:val="18"/>
        </w:rPr>
        <w:t>All spoke egress (internet + cross-spoke) traverses Azure Firewall for inspection.</w:t>
      </w:r>
    </w:p>
    <w:p>
      <w:pPr>
        <w:pStyle w:val="ListBullet"/>
      </w:pPr>
      <w:r>
        <w:rPr>
          <w:sz w:val="18"/>
        </w:rPr>
        <w:t>WAF (OWASP 3.2, Prevention mode) protects all inbound HTTP/S via App Gateway and Front Door.</w:t>
      </w:r>
    </w:p>
    <w:p>
      <w:pPr>
        <w:pStyle w:val="ListBullet"/>
      </w:pPr>
      <w:r>
        <w:rPr>
          <w:sz w:val="18"/>
        </w:rPr>
        <w:t>NSGs enforce least-privilege on each subnet; deny-all inbound internet except through approved paths.</w:t>
      </w:r>
    </w:p>
    <w:p>
      <w:pPr>
        <w:pStyle w:val="ListBullet"/>
      </w:pPr>
      <w:r>
        <w:rPr>
          <w:sz w:val="18"/>
        </w:rPr>
        <w:t>Managed Identities replace all credential-based authentication — no keys or passwords in code.</w:t>
      </w:r>
    </w:p>
    <w:p>
      <w:pPr>
        <w:pStyle w:val="ListBullet"/>
      </w:pPr>
      <w:r>
        <w:rPr>
          <w:sz w:val="18"/>
        </w:rPr>
        <w:t>Key Vault purge-protection enabled; soft-delete 90-day retention.</w:t>
      </w:r>
    </w:p>
    <w:p>
      <w:pPr>
        <w:pStyle w:val="ListBullet"/>
      </w:pPr>
      <w:r>
        <w:rPr>
          <w:sz w:val="18"/>
        </w:rPr>
        <w:t>TLS 1.2+ enforced on all listeners; no legacy TLS/SSL.</w:t>
      </w:r>
    </w:p>
    <w:p>
      <w:pPr>
        <w:pStyle w:val="ListBullet"/>
      </w:pPr>
      <w:r>
        <w:rPr>
          <w:sz w:val="18"/>
        </w:rPr>
        <w:t>NSG Flow Logs v2 + Traffic Analytics sent to central LAW for SOC monitoring.</w:t>
      </w:r>
    </w:p>
    <w:p>
      <w:pPr>
        <w:pStyle w:val="ListBullet"/>
      </w:pPr>
      <w:r>
        <w:rPr>
          <w:sz w:val="18"/>
        </w:rPr>
        <w:t>Threat Intelligence enabled on Azure Firewall for known malicious IP/FQDN blocking.</w:t>
      </w:r>
    </w:p>
    <w:p>
      <w:pPr>
        <w:pStyle w:val="Heading2"/>
      </w:pPr>
      <w:r>
        <w:rPr>
          <w:color w:val="0070C0"/>
        </w:rPr>
        <w:t>6.2 Firewall Policy Structure</w:t>
      </w:r>
    </w:p>
    <w:p>
      <w:r>
        <w:t>Azure Firewall Policy (cfs-hub-fwpol-swc) contains:</w:t>
        <w:br/>
        <w:t>• Network Rule Collection Group (Priority 100): Allow DNS (UDP 53) from all VNets to Azure DNS (168.63.129.16).</w:t>
        <w:br/>
        <w:t>• Network Rule Collection Group (Priority 200): Allow VPN gateway subnet to spoke VNets (BGP, IPSEC).</w:t>
        <w:br/>
        <w:t>• Application Rule Collection Group (Priority 300): Allow explicitly approved FQDNs for OS updates, Azure services, and CFS approved internet destinations.</w:t>
        <w:br/>
        <w:t>• Catch-all Deny: Implicit deny for all unmatched traffic (Firewall default behaviour).</w:t>
        <w:br/>
        <w:t>• Threat Intelligence: Alert and Deny mode enabled.</w:t>
      </w:r>
    </w:p>
    <w:p>
      <w:pPr>
        <w:pStyle w:val="Heading2"/>
      </w:pPr>
      <w:r>
        <w:rPr>
          <w:color w:val="0070C0"/>
        </w:rPr>
        <w:t>6.3 Private DNS Zone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Private DNS Zone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Linked VNets</w:t>
            </w:r>
          </w:p>
        </w:tc>
        <w:tc>
          <w:tcPr>
            <w:tcW w:type="dxa" w:w="3010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privatelink.vaultcore.azure.net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+ Spoke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Key Vault Private Endpoint resolution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privatelink.blob.core.windows.net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+ Spoke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Storage Account Blob PE resolution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privatelink.database.windows.net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+ Spoke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SQL PE resolution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privatelink.monitor.azure.com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+ Spoke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Monitor PE resolution</w:t>
            </w:r>
          </w:p>
        </w:tc>
      </w:tr>
      <w:tr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privatelink.ods.opinsights.azure.com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+ Spoke</w:t>
            </w:r>
          </w:p>
        </w:tc>
        <w:tc>
          <w:tcPr>
            <w:tcW w:type="dxa" w:w="301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Log Analytics PE resolution</w:t>
            </w:r>
          </w:p>
        </w:tc>
      </w:tr>
    </w:tbl>
    <w:p/>
    <w:p>
      <w:pPr>
        <w:pStyle w:val="Heading1"/>
      </w:pPr>
      <w:r>
        <w:rPr>
          <w:color w:val="0070C0"/>
        </w:rPr>
        <w:t>7. Compliance Mapping</w:t>
      </w:r>
    </w:p>
    <w:p>
      <w:r>
        <w:t>The following table maps architectural controls to regulatory requirements for DORA, GDPR, and PCI-DSS 4.0. All mappings are documented to support the Module B evidence pack.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Regulation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Article / Requirement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Architectural Control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DORA Art.9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ICT Security: network segregation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Hub &amp; Spoke with Firewall segmentation; NSGs per subnet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NSG effective rules report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DORA Art.9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ICT Security: encryption in transit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TLS 1.2+ on all services; VPN IKEv2 encryption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SSL Labs report; VPN connection details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DORA Art.10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ICT Monitoring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NSG Flow Logs v2 + Traffic Analytics; Firewall + App Gateway diag to LAW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LAW query confirming ingestion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DORA Art.11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Availability and continuity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Zone-redundant Firewall, App Gateway, ILB; Active-Active VPN GW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ARM zone configuration; SLA calculation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GDPR Art.32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Security of processing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Private Endpoints (no public PaaS); Managed Identity; encryption at rest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ARM audit; no public endpoint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GDPR Art.44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Cross-border transfers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resources in swedencentral (EU); no replication to non-EU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ARM region report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PCI-DSS 1.3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Network access controls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Azure Firewall deny-all + explicit allow; NSG rules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Firewall policy review; NSG audit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PCI-DSS 4.2.1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Encryption in transit (TLS)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TLS 1.2+ on App Gateway and Front Door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SSL Labs / testssl.sh output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PCI-DSS 6.4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Web application protection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App Gateway WAF OWASP 3.2 in Prevention mode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WAF log showing blocked attacks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PCI-DSS 10.3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Protect audit logs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LAW retention 90 days; purge protection on KV</w:t>
            </w:r>
          </w:p>
        </w:tc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LAW retention settings screenshot</w:t>
            </w:r>
          </w:p>
        </w:tc>
      </w:tr>
    </w:tbl>
    <w:p/>
    <w:p>
      <w:pPr>
        <w:pStyle w:val="Heading1"/>
      </w:pPr>
      <w:r>
        <w:rPr>
          <w:color w:val="0070C0"/>
        </w:rPr>
        <w:t>8. Assumptions &amp; Constraints</w:t>
      </w:r>
    </w:p>
    <w:p>
      <w:pPr>
        <w:pStyle w:val="Heading2"/>
      </w:pPr>
      <w:r>
        <w:rPr>
          <w:color w:val="0070C0"/>
        </w:rPr>
        <w:t>8.x Assumptions</w:t>
      </w:r>
    </w:p>
    <w:p>
      <w:pPr>
        <w:pStyle w:val="ListBullet"/>
      </w:pPr>
      <w:r>
        <w:rPr>
          <w:sz w:val="18"/>
        </w:rPr>
        <w:t>Participant has Owner RBAC on their Azure subscription.</w:t>
      </w:r>
    </w:p>
    <w:p>
      <w:pPr>
        <w:pStyle w:val="ListBullet"/>
      </w:pPr>
      <w:r>
        <w:rPr>
          <w:sz w:val="18"/>
        </w:rPr>
        <w:t>swedencentral region is available for all required SKUs.</w:t>
      </w:r>
    </w:p>
    <w:p>
      <w:pPr>
        <w:pStyle w:val="ListBullet"/>
      </w:pPr>
      <w:r>
        <w:rPr>
          <w:sz w:val="18"/>
        </w:rPr>
        <w:t>Lab will be torn down post-completion (cost constraint).</w:t>
      </w:r>
    </w:p>
    <w:p>
      <w:pPr>
        <w:pStyle w:val="ListBullet"/>
      </w:pPr>
      <w:r>
        <w:rPr>
          <w:sz w:val="18"/>
        </w:rPr>
        <w:t>VPN Gateway represents the production ExpressRoute circuit for lab purposes.</w:t>
      </w:r>
    </w:p>
    <w:p>
      <w:pPr>
        <w:pStyle w:val="ListBullet"/>
      </w:pPr>
      <w:r>
        <w:rPr>
          <w:sz w:val="18"/>
        </w:rPr>
        <w:t>Simulated on-prem is represented by a local network gateway with 172.16.0.0/12 prefix.</w:t>
      </w:r>
    </w:p>
    <w:p>
      <w:pPr>
        <w:pStyle w:val="Heading2"/>
      </w:pPr>
      <w:r>
        <w:rPr>
          <w:color w:val="0070C0"/>
        </w:rPr>
        <w:t>8.x Constraints</w:t>
      </w:r>
    </w:p>
    <w:p>
      <w:pPr>
        <w:pStyle w:val="ListBullet"/>
      </w:pPr>
      <w:r>
        <w:rPr>
          <w:sz w:val="18"/>
        </w:rPr>
        <w:t>Single region (swedencentral) — DR is design-only for lab.</w:t>
      </w:r>
    </w:p>
    <w:p>
      <w:pPr>
        <w:pStyle w:val="ListBullet"/>
      </w:pPr>
      <w:r>
        <w:rPr>
          <w:sz w:val="18"/>
        </w:rPr>
        <w:t>Azure Firewall Standard (not Premium) — IDPS not tested.</w:t>
      </w:r>
    </w:p>
    <w:p>
      <w:pPr>
        <w:pStyle w:val="ListBullet"/>
      </w:pPr>
      <w:r>
        <w:rPr>
          <w:sz w:val="18"/>
        </w:rPr>
        <w:t>All tooling is license-free: Bicep, Terraform AVM, GitHub Actions, Azure CLI, VS Code.</w:t>
      </w:r>
    </w:p>
    <w:p>
      <w:pPr>
        <w:pStyle w:val="ListBullet"/>
      </w:pPr>
      <w:r>
        <w:rPr>
          <w:sz w:val="18"/>
        </w:rPr>
        <w:t>Lab budget cap: €200 per participant.</w:t>
      </w:r>
    </w:p>
    <w:p>
      <w:pPr>
        <w:pStyle w:val="ListBullet"/>
      </w:pPr>
      <w:r>
        <w:rPr>
          <w:sz w:val="18"/>
        </w:rPr>
        <w:t>No shared services model — each participant has independent subscription.</w:t>
      </w:r>
    </w:p>
    <w:p>
      <w:pPr>
        <w:pStyle w:val="Heading2"/>
      </w:pPr>
      <w:r>
        <w:rPr>
          <w:color w:val="0070C0"/>
        </w:rPr>
        <w:t>8.x Out of Scope</w:t>
      </w:r>
    </w:p>
    <w:p>
      <w:pPr>
        <w:pStyle w:val="ListBullet"/>
      </w:pPr>
      <w:r>
        <w:rPr>
          <w:sz w:val="18"/>
        </w:rPr>
        <w:t>ExpressRoute physical provisioning (documented as design only).</w:t>
      </w:r>
    </w:p>
    <w:p>
      <w:pPr>
        <w:pStyle w:val="ListBullet"/>
      </w:pPr>
      <w:r>
        <w:rPr>
          <w:sz w:val="18"/>
        </w:rPr>
        <w:t>Azure Virtual WAN (documented as alternative).</w:t>
      </w:r>
    </w:p>
    <w:p>
      <w:pPr>
        <w:pStyle w:val="ListBullet"/>
      </w:pPr>
      <w:r>
        <w:rPr>
          <w:sz w:val="18"/>
        </w:rPr>
        <w:t>Multi-region active-active (documented as DR pattern).</w:t>
      </w:r>
    </w:p>
    <w:p>
      <w:pPr>
        <w:pStyle w:val="ListBullet"/>
      </w:pPr>
      <w:r>
        <w:rPr>
          <w:sz w:val="18"/>
        </w:rPr>
        <w:t>Azure DDoS Network Protection plan (risk accepted for lab; documented in decision log).</w:t>
      </w:r>
    </w:p>
    <w:p>
      <w:pPr>
        <w:pStyle w:val="ListBullet"/>
      </w:pPr>
      <w:r>
        <w:rPr>
          <w:sz w:val="18"/>
        </w:rPr>
        <w:t>Azure Firewall Premium / IDPS (noted as upgrade path).</w:t>
      </w:r>
    </w:p>
    <w:p>
      <w:pPr>
        <w:pStyle w:val="Heading1"/>
      </w:pPr>
      <w:r>
        <w:rPr>
          <w:color w:val="0070C0"/>
        </w:rPr>
        <w:t>9. Document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257"/>
            <w:shd w:val="clear" w:color="auto" w:fill="0070C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 Solution Architect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&lt;&lt;Signature&gt;&gt;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Partner Project Manager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&lt;&lt;Signature&gt;&gt;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 IT Manager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&lt;&lt;Signature&gt;&gt;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</w:tr>
      <w:tr>
        <w:tc>
          <w:tcPr>
            <w:tcW w:type="dxa" w:w="2257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CFS CISO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&lt;&lt;Name&gt;&gt;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&lt;&lt;Signature&gt;&gt;</w:t>
            </w:r>
          </w:p>
        </w:tc>
        <w:tc>
          <w:tcPr>
            <w:tcW w:type="dxa" w:w="2257"/>
            <w:shd w:val="clear" w:color="auto" w:fill="FFF2CC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vAlign w:val="top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&lt;&lt;Date&gt;&gt;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