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B2E5C"/>
          <w:sz w:val="64"/>
        </w:rPr>
        <w:t>Hypercare Plan</w:t>
      </w:r>
    </w:p>
    <w:p>
      <w:pPr>
        <w:jc w:val="center"/>
      </w:pPr>
      <w:r>
        <w:rPr>
          <w:i/>
          <w:color w:val="555555"/>
          <w:sz w:val="28"/>
        </w:rPr>
        <w:t>Agentic DevOps engagement - customer deliverable template</w:t>
      </w:r>
    </w:p>
    <w:p/>
    <w:p/>
    <w:p/>
    <w:p/>
    <w:p/>
    <w:p/>
    <w:p/>
    <w:p/>
    <w:p>
      <w:pPr>
        <w:jc w:val="center"/>
      </w:pPr>
      <w:r>
        <w:rPr>
          <w:color w:val="555555"/>
          <w:sz w:val="22"/>
        </w:rPr>
        <w:t>Agentic DevOps - Advanced Specialization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Customer</w:t>
            </w:r>
          </w:p>
        </w:tc>
        <w:tc>
          <w:tcPr>
            <w:tcW w:type="dxa" w:w="4680"/>
          </w:tcPr>
          <w:p>
            <w:r>
              <w:t>&lt;customer name&gt;</w:t>
            </w:r>
          </w:p>
        </w:tc>
      </w:tr>
      <w:tr>
        <w:tc>
          <w:tcPr>
            <w:tcW w:type="dxa" w:w="4680"/>
          </w:tcPr>
          <w:p>
            <w:r>
              <w:t>Version</w:t>
            </w:r>
          </w:p>
        </w:tc>
        <w:tc>
          <w:tcPr>
            <w:tcW w:type="dxa" w:w="4680"/>
          </w:tcPr>
          <w:p>
            <w:r>
              <w:t>0.1 (draft)</w:t>
            </w:r>
          </w:p>
        </w:tc>
      </w:tr>
      <w:tr>
        <w:tc>
          <w:tcPr>
            <w:tcW w:type="dxa" w:w="4680"/>
          </w:tcPr>
          <w:p>
            <w:r>
              <w:t>Authors</w:t>
            </w:r>
          </w:p>
        </w:tc>
        <w:tc>
          <w:tcPr>
            <w:tcW w:type="dxa" w:w="4680"/>
          </w:tcPr>
          <w:p>
            <w:r>
              <w:t>&lt;author&gt;</w:t>
            </w:r>
          </w:p>
        </w:tc>
      </w:tr>
      <w:tr>
        <w:tc>
          <w:tcPr>
            <w:tcW w:type="dxa" w:w="4680"/>
          </w:tcPr>
          <w:p>
            <w:r>
              <w:t>Reviewers</w:t>
            </w:r>
          </w:p>
        </w:tc>
        <w:tc>
          <w:tcPr>
            <w:tcW w:type="dxa" w:w="4680"/>
          </w:tcPr>
          <w:p>
            <w:r>
              <w:t>&lt;reviewer&gt;</w:t>
            </w:r>
          </w:p>
        </w:tc>
      </w:tr>
    </w:tbl>
    <w:p/>
    <w:p>
      <w:pPr>
        <w:pStyle w:val="Heading1"/>
      </w:pPr>
      <w:r>
        <w:t>Table of contents</w:t>
      </w:r>
    </w:p>
    <w:p>
      <w:r>
        <w:rPr>
          <w:i/>
          <w:color w:val="555555"/>
        </w:rPr>
        <w:t>[Generate TOC in Word: References -&gt; Table of Contents]</w:t>
      </w:r>
    </w:p>
    <w:p>
      <w:r>
        <w:br w:type="page"/>
      </w:r>
    </w:p>
    <w:p>
      <w:pPr>
        <w:pStyle w:val="Heading1"/>
      </w:pPr>
      <w:r>
        <w:t>1. Purpose &amp; scope</w:t>
      </w:r>
    </w:p>
    <w:p>
      <w:r>
        <w:rPr>
          <w:i/>
          <w:color w:val="555555"/>
        </w:rPr>
        <w:t>30/60/90 partner-on-standby phase.</w:t>
      </w:r>
    </w:p>
    <w:p/>
    <w:p>
      <w:pPr>
        <w:pStyle w:val="Heading1"/>
      </w:pPr>
      <w:r>
        <w:t>2. SLOs by phase</w:t>
      </w:r>
    </w:p>
    <w:p>
      <w:r>
        <w:rPr>
          <w:i/>
          <w:color w:val="555555"/>
        </w:rPr>
        <w:t>Response time, pipeline health, GHAS, Copilot adoption, customer self-resolve %.</w:t>
      </w:r>
    </w:p>
    <w:p/>
    <w:p>
      <w:pPr>
        <w:pStyle w:val="Heading1"/>
      </w:pPr>
      <w:r>
        <w:t>3. Hypercare review cadence</w:t>
      </w:r>
    </w:p>
    <w:p>
      <w:r>
        <w:rPr>
          <w:i/>
          <w:color w:val="555555"/>
        </w:rPr>
        <w:t>Weekly review + 30/60/90 scorecards.</w:t>
      </w:r>
    </w:p>
    <w:p/>
    <w:p>
      <w:pPr>
        <w:pStyle w:val="Heading1"/>
      </w:pPr>
      <w:r>
        <w:t>4. Escalation paths</w:t>
      </w:r>
    </w:p>
    <w:p>
      <w:r>
        <w:rPr>
          <w:i/>
          <w:color w:val="555555"/>
        </w:rPr>
        <w:t>Sev 1 / Sev 2 contact tree.</w:t>
      </w:r>
    </w:p>
    <w:p/>
    <w:p>
      <w:pPr>
        <w:pStyle w:val="Heading1"/>
      </w:pPr>
      <w:r>
        <w:t>5. Exit gate</w:t>
      </w:r>
    </w:p>
    <w:p>
      <w:r>
        <w:rPr>
          <w:i/>
          <w:color w:val="555555"/>
        </w:rPr>
        <w:t>Checklist: SLOs met, no open Sev 1/2, KT confidence &gt;= 4/5, lessons-learned raised, invoice.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