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Platform Runbook</w:t>
      </w:r>
    </w:p>
    <w:p>
      <w:pPr>
        <w:jc w:val="center"/>
      </w:pPr>
      <w:r>
        <w:rPr>
          <w:i/>
          <w:color w:val="555555"/>
          <w:sz w:val="28"/>
        </w:rPr>
        <w:t>Agentic DevOps engagement - customer deliverable template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Recurring operational procedures</w:t>
      </w:r>
    </w:p>
    <w:p>
      <w:r>
        <w:rPr>
          <w:i/>
          <w:color w:val="555555"/>
        </w:rPr>
        <w:t>List per-task SOPs with cadence.</w:t>
      </w:r>
    </w:p>
    <w:p/>
    <w:p>
      <w:pPr>
        <w:pStyle w:val="Heading1"/>
      </w:pPr>
      <w:r>
        <w:t>2. OIDC federated credential review (quarterly)</w:t>
      </w:r>
    </w:p>
    <w:p>
      <w:r>
        <w:rPr>
          <w:i/>
          <w:color w:val="555555"/>
        </w:rPr>
        <w:t>Steps to enumerate, verify, rotate.</w:t>
      </w:r>
    </w:p>
    <w:p/>
    <w:p>
      <w:pPr>
        <w:pStyle w:val="Heading1"/>
      </w:pPr>
      <w:r>
        <w:t>3. Self-hosted runner image patching (monthly)</w:t>
      </w:r>
    </w:p>
    <w:p>
      <w:r>
        <w:rPr>
          <w:i/>
          <w:color w:val="555555"/>
        </w:rPr>
        <w:t>Pipeline trigger + verification.</w:t>
      </w:r>
    </w:p>
    <w:p/>
    <w:p>
      <w:pPr>
        <w:pStyle w:val="Heading1"/>
      </w:pPr>
      <w:r>
        <w:t>4. ARC controller upgrade (quarterly)</w:t>
      </w:r>
    </w:p>
    <w:p>
      <w:r>
        <w:rPr>
          <w:i/>
          <w:color w:val="555555"/>
        </w:rPr>
        <w:t>Test in non-prod first.</w:t>
      </w:r>
    </w:p>
    <w:p/>
    <w:p>
      <w:pPr>
        <w:pStyle w:val="Heading1"/>
      </w:pPr>
      <w:r>
        <w:t>5. Copilot license review (quarterly)</w:t>
      </w:r>
    </w:p>
    <w:p>
      <w:r>
        <w:rPr>
          <w:i/>
          <w:color w:val="555555"/>
        </w:rPr>
        <w:t>Active vs inactive seats; reclaim.</w:t>
      </w:r>
    </w:p>
    <w:p/>
    <w:p>
      <w:pPr>
        <w:pStyle w:val="Heading1"/>
      </w:pPr>
      <w:r>
        <w:t>6. GHAS alert review (weekly)</w:t>
      </w:r>
    </w:p>
    <w:p>
      <w:r>
        <w:rPr>
          <w:i/>
          <w:color w:val="555555"/>
        </w:rPr>
        <w:t>High severity triage SLA.</w:t>
      </w:r>
    </w:p>
    <w:p/>
    <w:p>
      <w:pPr>
        <w:pStyle w:val="Heading1"/>
      </w:pPr>
      <w:r>
        <w:t>7. Branch protection audit (monthly)</w:t>
      </w:r>
    </w:p>
    <w:p>
      <w:r>
        <w:rPr>
          <w:i/>
          <w:color w:val="555555"/>
        </w:rPr>
        <w:t>Drift detection.</w:t>
      </w:r>
    </w:p>
    <w:p/>
    <w:p>
      <w:pPr>
        <w:pStyle w:val="Heading1"/>
      </w:pPr>
      <w:r>
        <w:t>8. Audit log integrity check (monthly)</w:t>
      </w:r>
    </w:p>
    <w:p>
      <w:r>
        <w:rPr>
          <w:i/>
          <w:color w:val="555555"/>
        </w:rPr>
        <w:t>Stream completeness verification.</w:t>
      </w:r>
    </w:p>
    <w:p/>
    <w:p>
      <w:pPr>
        <w:pStyle w:val="Heading1"/>
      </w:pPr>
      <w:r>
        <w:t>9. MCP server token rotation</w:t>
      </w:r>
    </w:p>
    <w:p>
      <w:r>
        <w:rPr>
          <w:i/>
          <w:color w:val="555555"/>
        </w:rPr>
        <w:t>90-day default; per-server policy.</w:t>
      </w:r>
    </w:p>
    <w:p/>
    <w:p>
      <w:pPr>
        <w:pStyle w:val="Heading1"/>
      </w:pPr>
      <w:r>
        <w:t>10. Incident response</w:t>
      </w:r>
    </w:p>
    <w:p>
      <w:r>
        <w:rPr>
          <w:i/>
          <w:color w:val="555555"/>
        </w:rPr>
        <w:t>Sev rubric + first-responder action per incident type.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