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color w:val="595959"/>
          <w:sz w:val="28"/>
        </w:rPr>
        <w:br/>
        <w:br/>
        <w:br/>
        <w:t>Azure Virtual Desktop</w:t>
        <w:br/>
        <w:t>Microsoft Advanced Specialization</w:t>
      </w:r>
    </w:p>
    <w:p>
      <w:pPr>
        <w:jc w:val="center"/>
      </w:pPr>
      <w:r>
        <w:rPr>
          <w:b/>
          <w:color w:val="1F4E79"/>
          <w:sz w:val="56"/>
        </w:rPr>
        <w:br/>
        <w:t>Knowledge Transfer Plan</w:t>
      </w:r>
    </w:p>
    <w:p>
      <w:pPr>
        <w:jc w:val="center"/>
      </w:pPr>
      <w:r>
        <w:rPr>
          <w:color w:val="595959"/>
          <w:sz w:val="26"/>
        </w:rPr>
        <w:t>Azure Virtual Desktop — template</w:t>
      </w:r>
    </w:p>
    <w:p>
      <w:pPr>
        <w:jc w:val="center"/>
      </w:pPr>
      <w:r>
        <w:rPr>
          <w:color w:val="595959"/>
          <w:sz w:val="20"/>
        </w:rPr>
        <w:br/>
        <w:br/>
        <w:t>Partner template — customise per customer engagement</w:t>
        <w:br/>
        <w:br/>
        <w:t>Version 1.0</w:t>
      </w:r>
    </w:p>
    <w:p>
      <w:r>
        <w:br w:type="page"/>
      </w:r>
    </w:p>
    <w:p>
      <w:pPr>
        <w:pStyle w:val="Heading1"/>
      </w:pPr>
      <w:r>
        <w:t>Table of Contents</w:t>
      </w:r>
    </w:p>
    <w:p>
      <w:r>
        <w:rPr>
          <w:i/>
        </w:rPr>
        <w:t>Right-click and Update Field in Word to populate.</w:t>
      </w:r>
    </w:p>
    <w:p>
      <w:r>
        <w:fldChar w:fldCharType="begin"/>
        <w:instrText xml:space="preserve">TOC \o "1-3" \h \z \u</w:instrText>
        <w:fldChar w:fldCharType="separate"/>
        <w:t>Right-click to update.</w:t>
        <w:fldChar w:fldCharType="end"/>
      </w:r>
    </w:p>
    <w:p>
      <w:r>
        <w:br w:type="page"/>
      </w:r>
    </w:p>
    <w:p>
      <w:pPr>
        <w:pStyle w:val="Heading1"/>
      </w:pPr>
      <w:r>
        <w:t>1. Audience and roles</w:t>
      </w:r>
    </w:p>
    <w:p>
      <w:r>
        <w:rPr>
          <w:i/>
          <w:color w:val="595959"/>
        </w:rPr>
        <w:t>EUC engineer, service desk lead, identity admin, operations manager, security reviewer.</w:t>
      </w:r>
    </w:p>
    <w:p/>
    <w:p>
      <w:pPr>
        <w:pStyle w:val="Heading1"/>
      </w:pPr>
      <w:r>
        <w:t>2. Session plan</w:t>
      </w:r>
    </w:p>
    <w:p>
      <w:r>
        <w:rPr>
          <w:i/>
          <w:color w:val="595959"/>
        </w:rPr>
        <w:t>Architecture, identity, network, FSLogix, image, scaling, incidents, runbook, shadowing, handover.</w:t>
      </w:r>
    </w:p>
    <w:p/>
    <w:p>
      <w:pPr>
        <w:pStyle w:val="Heading1"/>
      </w:pPr>
      <w:r>
        <w:t>3. Hands-on labs</w:t>
      </w:r>
    </w:p>
    <w:p>
      <w:r>
        <w:rPr>
          <w:i/>
          <w:color w:val="595959"/>
        </w:rPr>
        <w:t>Build a new gold image; reset a test user's FSLogix container; trigger and review an alert; add a new app via AppAttach.</w:t>
      </w:r>
    </w:p>
    <w:p/>
    <w:p>
      <w:pPr>
        <w:pStyle w:val="Heading1"/>
      </w:pPr>
      <w:r>
        <w:t>4. Evidence captured</w:t>
      </w:r>
    </w:p>
    <w:p>
      <w:r>
        <w:rPr>
          <w:i/>
          <w:color w:val="595959"/>
        </w:rPr>
        <w:t>Meeting invites; Teams attendance; recordings; lab completion; runbook walkthrough sign-off.</w:t>
      </w:r>
    </w:p>
    <w:p/>
    <w:p>
      <w:pPr>
        <w:pStyle w:val="Heading1"/>
      </w:pPr>
      <w:r>
        <w:t>5. KT exit criteria</w:t>
      </w:r>
    </w:p>
    <w:p>
      <w:r>
        <w:rPr>
          <w:i/>
          <w:color w:val="595959"/>
        </w:rPr>
        <w:t>All sessions delivered with named-role attendance; labs completed; runbook acknowledged; KT completion form signed.</w:t>
      </w:r>
    </w:p>
    <w:p/>
    <w:p>
      <w:pPr>
        <w:pStyle w:val="Heading1"/>
      </w:pPr>
      <w:r>
        <w:t>6. KT completion form</w:t>
      </w:r>
    </w:p>
    <w:p>
      <w:r>
        <w:rPr>
          <w:i/>
          <w:color w:val="595959"/>
        </w:rPr>
        <w:t>Sessions delivered; recordings handed over; labs completed; runbook acknowledged; readiness signed.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