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595959"/>
          <w:sz w:val="28"/>
        </w:rPr>
        <w:br/>
        <w:br/>
        <w:br/>
        <w:t>Azure Virtual Desktop</w:t>
        <w:br/>
        <w:t>Microsoft Advanced Specialization</w:t>
      </w:r>
    </w:p>
    <w:p>
      <w:pPr>
        <w:jc w:val="center"/>
      </w:pPr>
      <w:r>
        <w:rPr>
          <w:b/>
          <w:color w:val="1F4E79"/>
          <w:sz w:val="56"/>
        </w:rPr>
        <w:br/>
        <w:t>Definition of Done</w:t>
      </w:r>
    </w:p>
    <w:p>
      <w:pPr>
        <w:jc w:val="center"/>
      </w:pPr>
      <w:r>
        <w:rPr>
          <w:color w:val="595959"/>
          <w:sz w:val="26"/>
        </w:rPr>
        <w:t>Engagement-level acceptance for an AVD production delivery</w:t>
      </w:r>
    </w:p>
    <w:p>
      <w:pPr>
        <w:jc w:val="center"/>
      </w:pPr>
      <w:r>
        <w:rPr>
          <w:color w:val="595959"/>
          <w:sz w:val="20"/>
        </w:rPr>
        <w:br/>
        <w:br/>
        <w:t>Partner template — customise per customer engagement</w:t>
        <w:br/>
        <w:br/>
        <w:t>Version 1.0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rPr>
          <w:i/>
        </w:rPr>
        <w:t>Right-click and Update Field in Word to populate.</w:t>
      </w:r>
    </w:p>
    <w:p>
      <w:r>
        <w:fldChar w:fldCharType="begin"/>
        <w:instrText xml:space="preserve">TOC \o "1-3" \h \z \u</w:instrText>
        <w:fldChar w:fldCharType="separate"/>
        <w:t>Right-click to update.</w:t>
        <w:fldChar w:fldCharType="end"/>
      </w:r>
    </w:p>
    <w:p>
      <w:r>
        <w:br w:type="page"/>
      </w:r>
    </w:p>
    <w:p>
      <w:pPr>
        <w:pStyle w:val="Heading1"/>
      </w:pPr>
      <w:r>
        <w:t>Pre Go-Live</w:t>
      </w:r>
    </w:p>
    <w:p>
      <w:pPr>
        <w:pStyle w:val="ListBullet"/>
      </w:pPr>
      <w:r>
        <w:t>[A.1.1] Business strategy signed by customer sponsor</w:t>
      </w:r>
    </w:p>
    <w:p>
      <w:pPr>
        <w:pStyle w:val="ListBullet"/>
      </w:pPr>
      <w:r>
        <w:t>[A.1.2] Adoption plan / wave plan agreed and tracked</w:t>
      </w:r>
    </w:p>
    <w:p>
      <w:pPr>
        <w:pStyle w:val="ListBullet"/>
      </w:pPr>
      <w:r>
        <w:t>[A.2.1] Security and governance tooling active</w:t>
      </w:r>
    </w:p>
    <w:p>
      <w:pPr>
        <w:pStyle w:val="ListBullet"/>
      </w:pPr>
      <w:r>
        <w:t>[A.2.2 + B.2.2] WAF review complete; register triaged</w:t>
      </w:r>
    </w:p>
    <w:p>
      <w:pPr>
        <w:pStyle w:val="ListBullet"/>
      </w:pPr>
      <w:r>
        <w:t>[A.3.1] IaC pipeline used for production</w:t>
      </w:r>
    </w:p>
    <w:p>
      <w:pPr>
        <w:pStyle w:val="ListBullet"/>
      </w:pPr>
      <w:r>
        <w:t>[B.1.1] Workload assessment signed off</w:t>
      </w:r>
    </w:p>
    <w:p>
      <w:pPr>
        <w:pStyle w:val="ListBullet"/>
      </w:pPr>
      <w:r>
        <w:t>[B.2.1] HLD signed by customer</w:t>
      </w:r>
    </w:p>
    <w:p>
      <w:pPr>
        <w:pStyle w:val="ListBullet"/>
      </w:pPr>
      <w:r>
        <w:t>[B.2.3] PoC / Pilot signed off with decision-to-proceed</w:t>
      </w:r>
    </w:p>
    <w:p>
      <w:pPr>
        <w:pStyle w:val="ListBullet"/>
      </w:pPr>
      <w:r>
        <w:t>[B.3.1] Cutover plan agreed (migrations)</w:t>
      </w:r>
    </w:p>
    <w:p>
      <w:pPr>
        <w:pStyle w:val="ListBullet"/>
      </w:pPr>
      <w:r>
        <w:t>[B.4.1] Test plan executed; results within targets</w:t>
      </w:r>
    </w:p>
    <w:p>
      <w:pPr>
        <w:pStyle w:val="Heading1"/>
      </w:pPr>
      <w:r>
        <w:t>Go-Live</w:t>
      </w:r>
    </w:p>
    <w:p>
      <w:pPr>
        <w:pStyle w:val="ListBullet"/>
      </w:pPr>
      <w:r>
        <w:t>[B.3.1] Production pipeline run complete</w:t>
      </w:r>
    </w:p>
    <w:p>
      <w:pPr>
        <w:pStyle w:val="ListBullet"/>
      </w:pPr>
      <w:r>
        <w:t>[B.3.1] Configuration baseline captured</w:t>
      </w:r>
    </w:p>
    <w:p>
      <w:pPr>
        <w:pStyle w:val="ListBullet"/>
      </w:pPr>
      <w:r>
        <w:t>[B.3.1] Go-Live record signed</w:t>
      </w:r>
    </w:p>
    <w:p>
      <w:pPr>
        <w:pStyle w:val="ListBullet"/>
      </w:pPr>
      <w:r>
        <w:t>Communication sent to users</w:t>
      </w:r>
    </w:p>
    <w:p>
      <w:pPr>
        <w:pStyle w:val="ListBullet"/>
      </w:pPr>
      <w:r>
        <w:t>Hypercare started</w:t>
      </w:r>
    </w:p>
    <w:p>
      <w:pPr>
        <w:pStyle w:val="Heading1"/>
      </w:pPr>
      <w:r>
        <w:t>Hypercare exit</w:t>
      </w:r>
    </w:p>
    <w:p>
      <w:pPr>
        <w:pStyle w:val="ListBullet"/>
      </w:pPr>
      <w:r>
        <w:t>All P1 / P2 incidents resolved</w:t>
      </w:r>
    </w:p>
    <w:p>
      <w:pPr>
        <w:pStyle w:val="ListBullet"/>
      </w:pPr>
      <w:r>
        <w:t>Incident rate below 1 / user / week (rolling 7 days)</w:t>
      </w:r>
    </w:p>
    <w:p>
      <w:pPr>
        <w:pStyle w:val="ListBullet"/>
      </w:pPr>
      <w:r>
        <w:t>Logon P95 within HLD target</w:t>
      </w:r>
    </w:p>
    <w:p>
      <w:pPr>
        <w:pStyle w:val="ListBullet"/>
      </w:pPr>
      <w:r>
        <w:t>Ops team confidence ≥ 4/5</w:t>
      </w:r>
    </w:p>
    <w:p>
      <w:pPr>
        <w:pStyle w:val="ListBullet"/>
      </w:pPr>
      <w:r>
        <w:t>Runbook validated</w:t>
      </w:r>
    </w:p>
    <w:p>
      <w:pPr>
        <w:pStyle w:val="Heading1"/>
      </w:pPr>
      <w:r>
        <w:t>Handover</w:t>
      </w:r>
    </w:p>
    <w:p>
      <w:pPr>
        <w:pStyle w:val="ListBullet"/>
      </w:pPr>
      <w:r>
        <w:t>[B.4.2] LLD delivered</w:t>
      </w:r>
    </w:p>
    <w:p>
      <w:pPr>
        <w:pStyle w:val="ListBullet"/>
      </w:pPr>
      <w:r>
        <w:t>[B.4.2] Runbook delivered and walked through</w:t>
      </w:r>
    </w:p>
    <w:p>
      <w:pPr>
        <w:pStyle w:val="ListBullet"/>
      </w:pPr>
      <w:r>
        <w:t>[A.3.2 + B.4.2] KT plan complete; form signed</w:t>
      </w:r>
    </w:p>
    <w:p>
      <w:pPr>
        <w:pStyle w:val="ListBullet"/>
      </w:pPr>
      <w:r>
        <w:t>[B.4.2] Hypercare exit signed</w:t>
      </w:r>
    </w:p>
    <w:p>
      <w:pPr>
        <w:pStyle w:val="ListBullet"/>
      </w:pPr>
      <w:r>
        <w:t>[A.3.3] Ops tooling demonstrated</w:t>
      </w:r>
    </w:p>
    <w:p>
      <w:pPr>
        <w:pStyle w:val="ListBullet"/>
      </w:pPr>
      <w:r>
        <w:t>All evidence filed in tracker</w:t>
      </w:r>
    </w:p>
    <w:p>
      <w:pPr>
        <w:pStyle w:val="ListBullet"/>
      </w:pPr>
      <w:r>
        <w:t>Lessons learned filed</w:t>
      </w:r>
    </w:p>
    <w:p>
      <w:pPr>
        <w:pStyle w:val="Heading1"/>
      </w:pPr>
      <w:r>
        <w:t>Audit readiness</w:t>
      </w:r>
    </w:p>
    <w:p>
      <w:pPr>
        <w:pStyle w:val="ListBullet"/>
      </w:pPr>
      <w:r>
        <w:t>All Module B evidence collected</w:t>
      </w:r>
    </w:p>
    <w:p>
      <w:pPr>
        <w:pStyle w:val="ListBullet"/>
      </w:pPr>
      <w:r>
        <w:t>Customer added to Evidence Tracker</w:t>
      </w:r>
    </w:p>
    <w:p>
      <w:pPr>
        <w:pStyle w:val="ListBullet"/>
      </w:pPr>
      <w:r>
        <w:t>Customer Case Study + Sign-Off captured</w:t>
      </w:r>
    </w:p>
    <w:p>
      <w:pPr>
        <w:pStyle w:val="ListBullet"/>
      </w:pPr>
      <w:r>
        <w:t>Ready as qualifying customer (if applicable)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