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595959"/>
          <w:sz w:val="28"/>
        </w:rPr>
        <w:br/>
        <w:br/>
        <w:br/>
        <w:t>Azure Virtual Desktop</w:t>
        <w:br/>
        <w:t>Microsoft Advanced Specialization</w:t>
      </w:r>
    </w:p>
    <w:p>
      <w:pPr>
        <w:jc w:val="center"/>
      </w:pPr>
      <w:r>
        <w:rPr>
          <w:b/>
          <w:color w:val="1F4E79"/>
          <w:sz w:val="56"/>
        </w:rPr>
        <w:br/>
        <w:t>Qualification Questionnaire</w:t>
      </w:r>
    </w:p>
    <w:p>
      <w:pPr>
        <w:jc w:val="center"/>
      </w:pPr>
      <w:r>
        <w:rPr>
          <w:color w:val="595959"/>
          <w:sz w:val="26"/>
        </w:rPr>
        <w:t>Pre-engagement input for AVD opportunities</w:t>
      </w:r>
    </w:p>
    <w:p>
      <w:pPr>
        <w:jc w:val="center"/>
      </w:pPr>
      <w:r>
        <w:rPr>
          <w:color w:val="595959"/>
          <w:sz w:val="20"/>
        </w:rPr>
        <w:br/>
        <w:br/>
        <w:t>Partner template — customise per customer engagement</w:t>
        <w:br/>
        <w:br/>
        <w:t>Version 1.0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i/>
        </w:rPr>
        <w:t>Right-click and Update Field in Word to populate.</w:t>
      </w:r>
    </w:p>
    <w:p>
      <w:r>
        <w:fldChar w:fldCharType="begin"/>
        <w:instrText xml:space="preserve">TOC \o "1-3" \h \z \u</w:instrText>
        <w:fldChar w:fldCharType="separate"/>
        <w:t>Right-click to update.</w:t>
        <w:fldChar w:fldCharType="end"/>
      </w:r>
    </w:p>
    <w:p>
      <w:r>
        <w:br w:type="page"/>
      </w:r>
    </w:p>
    <w:p>
      <w:pPr>
        <w:pStyle w:val="Heading1"/>
      </w:pPr>
      <w:r>
        <w:t>1. Business context</w:t>
      </w:r>
    </w:p>
    <w:p>
      <w:r>
        <w:rPr>
          <w:i/>
          <w:color w:val="595959"/>
        </w:rPr>
        <w:t>Driver: RDS EoL, Citrix renewal, M&amp;A, security, cost, hybrid work, geographic expansion, regulated workload.</w:t>
      </w:r>
    </w:p>
    <w:p/>
    <w:p>
      <w:r>
        <w:rPr>
          <w:i/>
          <w:color w:val="595959"/>
        </w:rPr>
        <w:t>Business outcome with measurable target.</w:t>
      </w:r>
    </w:p>
    <w:p/>
    <w:p>
      <w:r>
        <w:rPr>
          <w:i/>
          <w:color w:val="595959"/>
        </w:rPr>
        <w:t>Executive sponsor and their success metric.</w:t>
      </w:r>
    </w:p>
    <w:p/>
    <w:p>
      <w:pPr>
        <w:pStyle w:val="Heading1"/>
      </w:pPr>
      <w:r>
        <w:t>2. User personas and app inventory</w:t>
      </w:r>
    </w:p>
    <w:p>
      <w:r>
        <w:rPr>
          <w:i/>
          <w:color w:val="595959"/>
        </w:rPr>
        <w:t>Per persona: headcount per region, workload profile, apps, peripherals, data sensitivity.</w:t>
      </w:r>
    </w:p>
    <w:p/>
    <w:p>
      <w:r>
        <w:rPr>
          <w:i/>
          <w:color w:val="595959"/>
        </w:rPr>
        <w:t>Current end-user device estate.</w:t>
      </w:r>
    </w:p>
    <w:p/>
    <w:p>
      <w:r>
        <w:rPr>
          <w:i/>
          <w:color w:val="595959"/>
        </w:rPr>
        <w:t>Current users on RDS / Citrix / Horizon / W365 with counts and pain points.</w:t>
      </w:r>
    </w:p>
    <w:p/>
    <w:p>
      <w:pPr>
        <w:pStyle w:val="Heading1"/>
      </w:pPr>
      <w:r>
        <w:t>3. Image strategy</w:t>
      </w:r>
    </w:p>
    <w:p>
      <w:r>
        <w:rPr>
          <w:i/>
          <w:color w:val="595959"/>
        </w:rPr>
        <w:t>Marketplace + customisations or full custom gold image?</w:t>
      </w:r>
    </w:p>
    <w:p/>
    <w:p>
      <w:r>
        <w:rPr>
          <w:i/>
          <w:color w:val="595959"/>
        </w:rPr>
        <w:t>Apps in base image vs Intune / AppAttach / MSIX.</w:t>
      </w:r>
    </w:p>
    <w:p/>
    <w:p>
      <w:r>
        <w:rPr>
          <w:i/>
          <w:color w:val="595959"/>
        </w:rPr>
        <w:t>Steady-state image owner.</w:t>
      </w:r>
    </w:p>
    <w:p/>
    <w:p>
      <w:r>
        <w:rPr>
          <w:i/>
          <w:color w:val="595959"/>
        </w:rPr>
        <w:t>Patching cadence.</w:t>
      </w:r>
    </w:p>
    <w:p/>
    <w:p>
      <w:pPr>
        <w:pStyle w:val="Heading1"/>
      </w:pPr>
      <w:r>
        <w:t>4. Identity</w:t>
      </w:r>
    </w:p>
    <w:p>
      <w:r>
        <w:rPr>
          <w:i/>
          <w:color w:val="595959"/>
        </w:rPr>
        <w:t>Cloud-only Entra, hybrid, AD DS only.</w:t>
      </w:r>
    </w:p>
    <w:p/>
    <w:p>
      <w:r>
        <w:rPr>
          <w:i/>
          <w:color w:val="595959"/>
        </w:rPr>
        <w:t>MFA coverage today.</w:t>
      </w:r>
    </w:p>
    <w:p/>
    <w:p>
      <w:r>
        <w:rPr>
          <w:i/>
          <w:color w:val="595959"/>
        </w:rPr>
        <w:t>Conditional Access and device compliance signals.</w:t>
      </w:r>
    </w:p>
    <w:p/>
    <w:p>
      <w:r>
        <w:rPr>
          <w:i/>
          <w:color w:val="595959"/>
        </w:rPr>
        <w:t>RBAC / PIM standards.</w:t>
      </w:r>
    </w:p>
    <w:p/>
    <w:p>
      <w:pPr>
        <w:pStyle w:val="Heading1"/>
      </w:pPr>
      <w:r>
        <w:t>5. Networking</w:t>
      </w:r>
    </w:p>
    <w:p>
      <w:r>
        <w:rPr>
          <w:i/>
          <w:color w:val="595959"/>
        </w:rPr>
        <w:t>Hub-spoke topology; ExpressRoute / VPN.</w:t>
      </w:r>
    </w:p>
    <w:p/>
    <w:p>
      <w:r>
        <w:rPr>
          <w:i/>
          <w:color w:val="595959"/>
        </w:rPr>
        <w:t>DNS resolution requirements.</w:t>
      </w:r>
    </w:p>
    <w:p/>
    <w:p>
      <w:r>
        <w:rPr>
          <w:i/>
          <w:color w:val="595959"/>
        </w:rPr>
        <w:t>Egress filtering pattern.</w:t>
      </w:r>
    </w:p>
    <w:p/>
    <w:p>
      <w:r>
        <w:rPr>
          <w:i/>
          <w:color w:val="595959"/>
        </w:rPr>
        <w:t>RDP Shortpath for managed networks feasible?</w:t>
      </w:r>
    </w:p>
    <w:p/>
    <w:p>
      <w:r>
        <w:rPr>
          <w:i/>
          <w:color w:val="595959"/>
        </w:rPr>
        <w:t>Data residency constraints.</w:t>
      </w:r>
    </w:p>
    <w:p/>
    <w:p>
      <w:pPr>
        <w:pStyle w:val="Heading1"/>
      </w:pPr>
      <w:r>
        <w:t>6. Storage and profiles</w:t>
      </w:r>
    </w:p>
    <w:p>
      <w:r>
        <w:rPr>
          <w:i/>
          <w:color w:val="595959"/>
        </w:rPr>
        <w:t>Azure Files Premium or ANF.</w:t>
      </w:r>
    </w:p>
    <w:p/>
    <w:p>
      <w:r>
        <w:rPr>
          <w:i/>
          <w:color w:val="595959"/>
        </w:rPr>
        <w:t>Per-user profile size budget.</w:t>
      </w:r>
    </w:p>
    <w:p/>
    <w:p>
      <w:r>
        <w:rPr>
          <w:i/>
          <w:color w:val="595959"/>
        </w:rPr>
        <w:t>Office container split required?</w:t>
      </w:r>
    </w:p>
    <w:p/>
    <w:p>
      <w:r>
        <w:rPr>
          <w:i/>
          <w:color w:val="595959"/>
        </w:rPr>
        <w:t>RPO / RTO target for profiles.</w:t>
      </w:r>
    </w:p>
    <w:p/>
    <w:p>
      <w:pPr>
        <w:pStyle w:val="Heading1"/>
      </w:pPr>
      <w:r>
        <w:t>7. Security, compliance, governance</w:t>
      </w:r>
    </w:p>
    <w:p>
      <w:r>
        <w:rPr>
          <w:i/>
          <w:color w:val="595959"/>
        </w:rPr>
        <w:t>Regulatory regime.</w:t>
      </w:r>
    </w:p>
    <w:p/>
    <w:p>
      <w:r>
        <w:rPr>
          <w:i/>
          <w:color w:val="595959"/>
        </w:rPr>
        <w:t>Data classification scheme.</w:t>
      </w:r>
    </w:p>
    <w:p/>
    <w:p>
      <w:r>
        <w:rPr>
          <w:i/>
          <w:color w:val="595959"/>
        </w:rPr>
        <w:t>Endpoint isolation requirements.</w:t>
      </w:r>
    </w:p>
    <w:p/>
    <w:p>
      <w:r>
        <w:rPr>
          <w:i/>
          <w:color w:val="595959"/>
        </w:rPr>
        <w:t>Defender for Cloud baseline.</w:t>
      </w:r>
    </w:p>
    <w:p/>
    <w:p>
      <w:r>
        <w:rPr>
          <w:i/>
          <w:color w:val="595959"/>
        </w:rPr>
        <w:t>Azure Policy initiatives.</w:t>
      </w:r>
    </w:p>
    <w:p/>
    <w:p>
      <w:pPr>
        <w:pStyle w:val="Heading1"/>
      </w:pPr>
      <w:r>
        <w:t>8. Operations and support</w:t>
      </w:r>
    </w:p>
    <w:p>
      <w:r>
        <w:rPr>
          <w:i/>
          <w:color w:val="595959"/>
        </w:rPr>
        <w:t>Ops team size and AZ-140 / AZ-104 coverage.</w:t>
      </w:r>
    </w:p>
    <w:p/>
    <w:p>
      <w:r>
        <w:rPr>
          <w:i/>
          <w:color w:val="595959"/>
        </w:rPr>
        <w:t>ITSM tool.</w:t>
      </w:r>
    </w:p>
    <w:p/>
    <w:p>
      <w:r>
        <w:rPr>
          <w:i/>
          <w:color w:val="595959"/>
        </w:rPr>
        <w:t>Monitoring tooling.</w:t>
      </w:r>
    </w:p>
    <w:p/>
    <w:p>
      <w:r>
        <w:rPr>
          <w:i/>
          <w:color w:val="595959"/>
        </w:rPr>
        <w:t>On-call coverage.</w:t>
      </w:r>
    </w:p>
    <w:p/>
    <w:p>
      <w:pPr>
        <w:pStyle w:val="Heading1"/>
      </w:pPr>
      <w:r>
        <w:t>9. Migration in scope</w:t>
      </w:r>
    </w:p>
    <w:p>
      <w:r>
        <w:rPr>
          <w:i/>
          <w:color w:val="595959"/>
        </w:rPr>
        <w:t>Source platform.</w:t>
      </w:r>
    </w:p>
    <w:p/>
    <w:p>
      <w:r>
        <w:rPr>
          <w:i/>
          <w:color w:val="595959"/>
        </w:rPr>
        <w:t>Profile migration approach.</w:t>
      </w:r>
    </w:p>
    <w:p/>
    <w:p>
      <w:r>
        <w:rPr>
          <w:i/>
          <w:color w:val="595959"/>
        </w:rPr>
        <w:t>Cutover model.</w:t>
      </w:r>
    </w:p>
    <w:p/>
    <w:p>
      <w:r>
        <w:rPr>
          <w:i/>
          <w:color w:val="595959"/>
        </w:rPr>
        <w:t>Data migration volume and timeline.</w:t>
      </w:r>
    </w:p>
    <w:p/>
    <w:p>
      <w:pPr>
        <w:pStyle w:val="Heading1"/>
      </w:pPr>
      <w:r>
        <w:t>10. Commercial</w:t>
      </w:r>
    </w:p>
    <w:p>
      <w:r>
        <w:rPr>
          <w:i/>
          <w:color w:val="595959"/>
        </w:rPr>
        <w:t>Funding source.</w:t>
      </w:r>
    </w:p>
    <w:p/>
    <w:p>
      <w:r>
        <w:rPr>
          <w:i/>
          <w:color w:val="595959"/>
        </w:rPr>
        <w:t>Available Microsoft 365 licensing.</w:t>
      </w:r>
    </w:p>
    <w:p/>
    <w:p>
      <w:r>
        <w:rPr>
          <w:i/>
          <w:color w:val="595959"/>
        </w:rPr>
        <w:t>Procurement constraints.</w:t>
      </w:r>
    </w:p>
    <w:p/>
    <w:p>
      <w:r>
        <w:rPr>
          <w:i/>
          <w:color w:val="595959"/>
        </w:rPr>
        <w:t>Decision timeline.</w:t>
      </w:r>
    </w:p>
    <w:p/>
    <w:p>
      <w:pPr>
        <w:pStyle w:val="Heading1"/>
      </w:pPr>
      <w:r>
        <w:t>11. Decision summary</w:t>
      </w:r>
    </w:p>
    <w:p>
      <w:r>
        <w:rPr>
          <w:i/>
          <w:color w:val="595959"/>
        </w:rPr>
        <w:t>Recommended engagement shape.</w:t>
      </w:r>
    </w:p>
    <w:p/>
    <w:p>
      <w:r>
        <w:rPr>
          <w:i/>
          <w:color w:val="595959"/>
        </w:rPr>
        <w:t>Audit-fit assessment.</w:t>
      </w:r>
    </w:p>
    <w:p/>
    <w:p>
      <w:r>
        <w:rPr>
          <w:i/>
          <w:color w:val="595959"/>
        </w:rPr>
        <w:t>Top three risks.</w:t>
      </w:r>
    </w:p>
    <w:p/>
    <w:p>
      <w:r>
        <w:rPr>
          <w:i/>
          <w:color w:val="595959"/>
        </w:rPr>
        <w:t>Go / no-go and rationale.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