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595959"/>
          <w:sz w:val="28"/>
        </w:rPr>
        <w:br/>
        <w:br/>
        <w:br/>
        <w:t>Azure Virtual Desktop</w:t>
        <w:br/>
        <w:t>Microsoft Advanced Specialization</w:t>
      </w:r>
    </w:p>
    <w:p>
      <w:pPr>
        <w:jc w:val="center"/>
      </w:pPr>
      <w:r>
        <w:rPr>
          <w:b/>
          <w:color w:val="1F4E79"/>
          <w:sz w:val="56"/>
        </w:rPr>
        <w:br/>
        <w:t>High-Level Design</w:t>
      </w:r>
    </w:p>
    <w:p>
      <w:pPr>
        <w:jc w:val="center"/>
      </w:pPr>
      <w:r>
        <w:rPr>
          <w:color w:val="595959"/>
          <w:sz w:val="26"/>
        </w:rPr>
        <w:t>Azure Virtual Desktop — template</w:t>
      </w:r>
    </w:p>
    <w:p>
      <w:pPr>
        <w:jc w:val="center"/>
      </w:pPr>
      <w:r>
        <w:rPr>
          <w:color w:val="595959"/>
          <w:sz w:val="20"/>
        </w:rPr>
        <w:br/>
        <w:br/>
        <w:t>Partner template — customise per customer engagement</w:t>
        <w:br/>
        <w:br/>
        <w:t>Version 1.0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</w:rPr>
        <w:t>Right-click and Update Field in Word to populate.</w:t>
      </w:r>
    </w:p>
    <w:p>
      <w:r>
        <w:fldChar w:fldCharType="begin"/>
        <w:instrText xml:space="preserve">TOC \o "1-3" \h \z \u</w:instrText>
        <w:fldChar w:fldCharType="separate"/>
        <w:t>Right-click to update.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rPr>
          <w:i/>
          <w:color w:val="595959"/>
        </w:rPr>
        <w:t>State purpose, scope and target outcome in three paragraphs.</w:t>
      </w:r>
    </w:p>
    <w:p/>
    <w:p>
      <w:pPr>
        <w:pStyle w:val="Heading1"/>
      </w:pPr>
      <w:r>
        <w:t>2. Business context</w:t>
      </w:r>
    </w:p>
    <w:p>
      <w:r>
        <w:rPr>
          <w:i/>
          <w:color w:val="595959"/>
        </w:rPr>
        <w:t>Link drivers and outcomes to A.1.1 strategy.</w:t>
      </w:r>
    </w:p>
    <w:p/>
    <w:p>
      <w:pPr>
        <w:pStyle w:val="Heading1"/>
      </w:pPr>
      <w:r>
        <w:t>3. Scope</w:t>
      </w:r>
    </w:p>
    <w:p>
      <w:r>
        <w:rPr>
          <w:i/>
          <w:color w:val="595959"/>
        </w:rPr>
        <w:t>In-scope personas, locations, regulatory regime. Out-of-scope items explicitly listed.</w:t>
      </w:r>
    </w:p>
    <w:p/>
    <w:p>
      <w:pPr>
        <w:pStyle w:val="Heading1"/>
      </w:pPr>
      <w:r>
        <w:t>4. Personas</w:t>
      </w:r>
    </w:p>
    <w:p>
      <w:r>
        <w:rPr>
          <w:i/>
          <w:color w:val="595959"/>
        </w:rPr>
        <w:t>Per persona: headcount, profile, peripherals, data sensitivity, target architecture.</w:t>
      </w:r>
    </w:p>
    <w:p/>
    <w:p>
      <w:pPr>
        <w:pStyle w:val="Heading1"/>
      </w:pPr>
      <w:r>
        <w:t>5. Reference architecture selection</w:t>
      </w:r>
    </w:p>
    <w:p>
      <w:r>
        <w:rPr>
          <w:i/>
          <w:color w:val="595959"/>
        </w:rPr>
        <w:t>For each persona: pattern, why, trade-offs considered.</w:t>
      </w:r>
    </w:p>
    <w:p/>
    <w:p>
      <w:pPr>
        <w:pStyle w:val="Heading1"/>
      </w:pPr>
      <w:r>
        <w:t>6. Host pool topology</w:t>
      </w:r>
    </w:p>
    <w:p>
      <w:r>
        <w:rPr>
          <w:i/>
          <w:color w:val="595959"/>
        </w:rPr>
        <w:t>For each pool: pattern, OS image, SKU, host count (baseline + max), max sessions per host, load balancing.</w:t>
      </w:r>
    </w:p>
    <w:p/>
    <w:p>
      <w:pPr>
        <w:pStyle w:val="Heading1"/>
      </w:pPr>
      <w:r>
        <w:t>7. Identity design</w:t>
      </w:r>
    </w:p>
    <w:p>
      <w:r>
        <w:rPr>
          <w:i/>
          <w:color w:val="595959"/>
        </w:rPr>
        <w:t>Entra-join vs hybrid; MFA; Conditional Access; RBAC / PIM model; PAW pattern.</w:t>
      </w:r>
    </w:p>
    <w:p/>
    <w:p>
      <w:pPr>
        <w:pStyle w:val="Heading1"/>
      </w:pPr>
      <w:r>
        <w:t>8. Profile storage design</w:t>
      </w:r>
    </w:p>
    <w:p>
      <w:r>
        <w:rPr>
          <w:i/>
          <w:color w:val="595959"/>
        </w:rPr>
        <w:t>Azure Files Premium vs ANF; auth; per-user GB; Office container split.</w:t>
      </w:r>
    </w:p>
    <w:p/>
    <w:p>
      <w:pPr>
        <w:pStyle w:val="Heading1"/>
      </w:pPr>
      <w:r>
        <w:t>9. Networking design</w:t>
      </w:r>
    </w:p>
    <w:p>
      <w:r>
        <w:rPr>
          <w:i/>
          <w:color w:val="595959"/>
        </w:rPr>
        <w:t>VNet, hub-spoke, ExpressRoute / VPN, RDP Shortpath, private endpoints, DNS, egress firewall.</w:t>
      </w:r>
    </w:p>
    <w:p/>
    <w:p>
      <w:pPr>
        <w:pStyle w:val="Heading1"/>
      </w:pPr>
      <w:r>
        <w:t>10. Image management strategy</w:t>
      </w:r>
    </w:p>
    <w:p>
      <w:r>
        <w:rPr>
          <w:i/>
          <w:color w:val="595959"/>
        </w:rPr>
        <w:t>Source, build pipeline, customisation steps, validation, promotion rings, refresh cadence.</w:t>
      </w:r>
    </w:p>
    <w:p/>
    <w:p>
      <w:pPr>
        <w:pStyle w:val="Heading1"/>
      </w:pPr>
      <w:r>
        <w:t>11. Application delivery strategy</w:t>
      </w:r>
    </w:p>
    <w:p>
      <w:r>
        <w:rPr>
          <w:i/>
          <w:color w:val="595959"/>
        </w:rPr>
        <w:t>Decision matrix per app; AppAttach storage and assignment; per-user vs shared activation.</w:t>
      </w:r>
    </w:p>
    <w:p/>
    <w:p>
      <w:pPr>
        <w:pStyle w:val="Heading1"/>
      </w:pPr>
      <w:r>
        <w:t>12. Scaling plan</w:t>
      </w:r>
    </w:p>
    <w:p>
      <w:r>
        <w:rPr>
          <w:i/>
          <w:color w:val="595959"/>
        </w:rPr>
        <w:t>Schedule, ramp-up safety, min / max, force-logoff behaviour, cost expectation.</w:t>
      </w:r>
    </w:p>
    <w:p/>
    <w:p>
      <w:pPr>
        <w:pStyle w:val="Heading1"/>
      </w:pPr>
      <w:r>
        <w:t>13. Monitoring &amp; operations</w:t>
      </w:r>
    </w:p>
    <w:p>
      <w:r>
        <w:rPr>
          <w:i/>
          <w:color w:val="595959"/>
        </w:rPr>
        <w:t>Log Analytics, diagnostic settings, AVD Insights workbook, alert rules.</w:t>
      </w:r>
    </w:p>
    <w:p/>
    <w:p>
      <w:pPr>
        <w:pStyle w:val="Heading1"/>
      </w:pPr>
      <w:r>
        <w:t>14. Security &amp; governance</w:t>
      </w:r>
    </w:p>
    <w:p>
      <w:r>
        <w:rPr>
          <w:i/>
          <w:color w:val="595959"/>
        </w:rPr>
        <w:t>Defender for Cloud, Policy, CA, endpoint isolation, data residency, log retention.</w:t>
      </w:r>
    </w:p>
    <w:p/>
    <w:p>
      <w:pPr>
        <w:pStyle w:val="Heading1"/>
      </w:pPr>
      <w:r>
        <w:t>15. BCDR pattern</w:t>
      </w:r>
    </w:p>
    <w:p>
      <w:r>
        <w:rPr>
          <w:i/>
          <w:color w:val="595959"/>
        </w:rPr>
        <w:t>Paired-region pattern, FSLogix replication, recovery, RPO / RTO, test cadence.</w:t>
      </w:r>
    </w:p>
    <w:p/>
    <w:p>
      <w:pPr>
        <w:pStyle w:val="Heading1"/>
      </w:pPr>
      <w:r>
        <w:t>16. Sizing &amp; cost model</w:t>
      </w:r>
    </w:p>
    <w:p>
      <w:r>
        <w:rPr>
          <w:i/>
          <w:color w:val="595959"/>
        </w:rPr>
        <w:t>Sessions per host per persona, host SKU, totals, RI / SP plan, monthly forecast.</w:t>
      </w:r>
    </w:p>
    <w:p/>
    <w:p>
      <w:pPr>
        <w:pStyle w:val="Heading1"/>
      </w:pPr>
      <w:r>
        <w:t>17. Risks, assumptions, dependencies</w:t>
      </w:r>
    </w:p>
    <w:p>
      <w:r>
        <w:rPr>
          <w:i/>
          <w:color w:val="595959"/>
        </w:rPr>
        <w:t>Numbered RAID table; owner per item.</w:t>
      </w:r>
    </w:p>
    <w:p/>
    <w:p>
      <w:pPr>
        <w:pStyle w:val="Heading1"/>
      </w:pPr>
      <w:r>
        <w:t>18. Sign-off</w:t>
      </w:r>
    </w:p>
    <w:p>
      <w:r>
        <w:rPr>
          <w:i/>
          <w:color w:val="595959"/>
        </w:rPr>
        <w:t>Sponsor, customer EUC lead, security reviewer, partner engagement lead, partner technical lead.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