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95959"/>
          <w:sz w:val="28"/>
        </w:rPr>
        <w:br/>
        <w:br/>
        <w:br/>
        <w:t>Azure Virtual Desktop</w:t>
        <w:br/>
        <w:t>Microsoft Advanced Specialization</w:t>
      </w:r>
    </w:p>
    <w:p>
      <w:pPr>
        <w:jc w:val="center"/>
      </w:pPr>
      <w:r>
        <w:rPr>
          <w:b/>
          <w:color w:val="1F4E79"/>
          <w:sz w:val="56"/>
        </w:rPr>
        <w:br/>
        <w:t>Hypercare Plan</w:t>
      </w:r>
    </w:p>
    <w:p>
      <w:pPr>
        <w:jc w:val="center"/>
      </w:pPr>
      <w:r>
        <w:rPr>
          <w:color w:val="595959"/>
          <w:sz w:val="26"/>
        </w:rPr>
        <w:t>Azure Virtual Desktop — template</w:t>
      </w:r>
    </w:p>
    <w:p>
      <w:pPr>
        <w:jc w:val="center"/>
      </w:pPr>
      <w:r>
        <w:rPr>
          <w:color w:val="595959"/>
          <w:sz w:val="20"/>
        </w:rPr>
        <w:br/>
        <w:br/>
        <w:t>Partner template — customise per customer engagement</w:t>
        <w:br/>
        <w:br/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and Update Field in Word to populate.</w:t>
      </w:r>
    </w:p>
    <w:p>
      <w:r>
        <w:fldChar w:fldCharType="begin"/>
        <w:instrText xml:space="preserve">TOC \o "1-3" \h \z \u</w:instrText>
        <w:fldChar w:fldCharType="separate"/>
        <w:t>Right-click to update.</w:t>
        <w:fldChar w:fldCharType="end"/>
      </w:r>
    </w:p>
    <w:p>
      <w:r>
        <w:br w:type="page"/>
      </w:r>
    </w:p>
    <w:p>
      <w:pPr>
        <w:pStyle w:val="Heading1"/>
      </w:pPr>
      <w:r>
        <w:t>1. Scope and duration</w:t>
      </w:r>
    </w:p>
    <w:p>
      <w:r>
        <w:rPr>
          <w:i/>
          <w:color w:val="595959"/>
        </w:rPr>
        <w:t>Go-Live to exit criteria; target 2–4 weeks; coverage hours; on-call P1 / P2 outside hours.</w:t>
      </w:r>
    </w:p>
    <w:p/>
    <w:p>
      <w:pPr>
        <w:pStyle w:val="Heading1"/>
      </w:pPr>
      <w:r>
        <w:t>2. Communication channels</w:t>
      </w:r>
    </w:p>
    <w:p>
      <w:r>
        <w:rPr>
          <w:i/>
          <w:color w:val="595959"/>
        </w:rPr>
        <w:t>Teams hypercare channel; email DL; on-call rota; daily stand-up; weekly review.</w:t>
      </w:r>
    </w:p>
    <w:p/>
    <w:p>
      <w:pPr>
        <w:pStyle w:val="Heading1"/>
      </w:pPr>
      <w:r>
        <w:t>3. Escalation matrix</w:t>
      </w:r>
    </w:p>
    <w:p>
      <w:r>
        <w:rPr>
          <w:i/>
          <w:color w:val="595959"/>
        </w:rPr>
        <w:t>P1 / P2 / P3 / P4 — definition, response time, owner.</w:t>
      </w:r>
    </w:p>
    <w:p/>
    <w:p>
      <w:pPr>
        <w:pStyle w:val="Heading1"/>
      </w:pPr>
      <w:r>
        <w:t>4. Daily cadence</w:t>
      </w:r>
    </w:p>
    <w:p>
      <w:r>
        <w:rPr>
          <w:i/>
          <w:color w:val="595959"/>
        </w:rPr>
        <w:t>09:00 stand-up; ticket review; on-call handover.</w:t>
      </w:r>
    </w:p>
    <w:p/>
    <w:p>
      <w:pPr>
        <w:pStyle w:val="Heading1"/>
      </w:pPr>
      <w:r>
        <w:t>5. Weekly cadence</w:t>
      </w:r>
    </w:p>
    <w:p>
      <w:r>
        <w:rPr>
          <w:i/>
          <w:color w:val="595959"/>
        </w:rPr>
        <w:t>Incident trends; AVD Insights; cost actual vs forecast; exit criteria progress.</w:t>
      </w:r>
    </w:p>
    <w:p/>
    <w:p>
      <w:pPr>
        <w:pStyle w:val="Heading1"/>
      </w:pPr>
      <w:r>
        <w:t>6. Exit criteria</w:t>
      </w:r>
    </w:p>
    <w:p>
      <w:r>
        <w:rPr>
          <w:i/>
          <w:color w:val="595959"/>
        </w:rPr>
        <w:t>All P1 / P2 resolved; incident rate target met; logon P95 within target; ops confidence ≥ 4/5; runbook validated.</w:t>
      </w:r>
    </w:p>
    <w:p/>
    <w:p>
      <w:pPr>
        <w:pStyle w:val="Heading1"/>
      </w:pPr>
      <w:r>
        <w:t>7. Exit sign-off</w:t>
      </w:r>
    </w:p>
    <w:p>
      <w:r>
        <w:rPr>
          <w:i/>
          <w:color w:val="595959"/>
        </w:rPr>
        <w:t>Customer ops manager; customer EUC lead; partner engagement lead.</w:t>
      </w:r>
    </w:p>
    <w:p/>
    <w:p>
      <w:pPr>
        <w:pStyle w:val="Heading1"/>
      </w:pPr>
      <w:r>
        <w:t>8. Post-hypercare arrangements</w:t>
      </w:r>
    </w:p>
    <w:p>
      <w:r>
        <w:rPr>
          <w:i/>
          <w:color w:val="595959"/>
        </w:rPr>
        <w:t>Steady-state support contract; lessons learned filed; next WAF re-assessment scheduled.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