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8"/>
        </w:rPr>
        <w:br/>
        <w:br/>
        <w:br/>
        <w:t>Azure Virtual Desktop</w:t>
        <w:br/>
        <w:t>Microsoft Advanced Specialization</w:t>
      </w:r>
    </w:p>
    <w:p>
      <w:pPr>
        <w:jc w:val="center"/>
      </w:pPr>
      <w:r>
        <w:rPr>
          <w:b/>
          <w:color w:val="1F4E79"/>
          <w:sz w:val="56"/>
        </w:rPr>
        <w:br/>
        <w:t>Low-Level Design (As-Built)</w:t>
      </w:r>
    </w:p>
    <w:p>
      <w:pPr>
        <w:jc w:val="center"/>
      </w:pPr>
      <w:r>
        <w:rPr>
          <w:color w:val="595959"/>
          <w:sz w:val="26"/>
        </w:rPr>
        <w:t>Azure Virtual Desktop — template</w:t>
      </w:r>
    </w:p>
    <w:p>
      <w:pPr>
        <w:jc w:val="center"/>
      </w:pPr>
      <w:r>
        <w:rPr>
          <w:color w:val="595959"/>
          <w:sz w:val="20"/>
        </w:rPr>
        <w:br/>
        <w:br/>
        <w:t>Partner template — customise per customer engagement</w:t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Update Field in Word to populate.</w:t>
      </w:r>
    </w:p>
    <w:p>
      <w:r>
        <w:fldChar w:fldCharType="begin"/>
        <w:instrText xml:space="preserve">TOC \o "1-3" \h \z \u</w:instrText>
        <w:fldChar w:fldCharType="separate"/>
        <w:t>Right-click to update.</w:t>
        <w:fldChar w:fldCharType="end"/>
      </w:r>
    </w:p>
    <w:p>
      <w:r>
        <w:br w:type="page"/>
      </w:r>
    </w:p>
    <w:p>
      <w:pPr>
        <w:pStyle w:val="Heading1"/>
      </w:pPr>
      <w:r>
        <w:t>1. Scope &amp; version</w:t>
      </w:r>
    </w:p>
    <w:p>
      <w:r>
        <w:rPr>
          <w:i/>
          <w:color w:val="595959"/>
        </w:rPr>
        <w:t>Go-Live date; image version; IaC commit SHA.</w:t>
      </w:r>
    </w:p>
    <w:p/>
    <w:p>
      <w:pPr>
        <w:pStyle w:val="Heading1"/>
      </w:pPr>
      <w:r>
        <w:t>2. Subscription &amp; MG structure</w:t>
      </w:r>
    </w:p>
    <w:p>
      <w:r>
        <w:rPr>
          <w:i/>
          <w:color w:val="595959"/>
        </w:rPr>
        <w:t>Tenant, MG, subscription, RG layout with names.</w:t>
      </w:r>
    </w:p>
    <w:p/>
    <w:p>
      <w:pPr>
        <w:pStyle w:val="Heading1"/>
      </w:pPr>
      <w:r>
        <w:t>3. Networking</w:t>
      </w:r>
    </w:p>
    <w:p>
      <w:r>
        <w:rPr>
          <w:i/>
          <w:color w:val="595959"/>
        </w:rPr>
        <w:t>VNets, subnets, NSGs, firewall rules, DNS zones, private endpoints.</w:t>
      </w:r>
    </w:p>
    <w:p/>
    <w:p>
      <w:pPr>
        <w:pStyle w:val="Heading1"/>
      </w:pPr>
      <w:r>
        <w:t>4. Host pools</w:t>
      </w:r>
    </w:p>
    <w:p>
      <w:r>
        <w:rPr>
          <w:i/>
          <w:color w:val="595959"/>
        </w:rPr>
        <w:t>Per pool: name, type, max session limit, load balancing, SKU, count, image reference.</w:t>
      </w:r>
    </w:p>
    <w:p/>
    <w:p>
      <w:pPr>
        <w:pStyle w:val="Heading1"/>
      </w:pPr>
      <w:r>
        <w:t>5. Session hosts</w:t>
      </w:r>
    </w:p>
    <w:p>
      <w:r>
        <w:rPr>
          <w:i/>
          <w:color w:val="595959"/>
        </w:rPr>
        <w:t>Current host names, deployment date, image version, tags.</w:t>
      </w:r>
    </w:p>
    <w:p/>
    <w:p>
      <w:pPr>
        <w:pStyle w:val="Heading1"/>
      </w:pPr>
      <w:r>
        <w:t>6. FSLogix profile storage</w:t>
      </w:r>
    </w:p>
    <w:p>
      <w:r>
        <w:rPr>
          <w:i/>
          <w:color w:val="595959"/>
        </w:rPr>
        <w:t>Storage account, share, permissions, container configuration.</w:t>
      </w:r>
    </w:p>
    <w:p/>
    <w:p>
      <w:pPr>
        <w:pStyle w:val="Heading1"/>
      </w:pPr>
      <w:r>
        <w:t>7. Image gallery</w:t>
      </w:r>
    </w:p>
    <w:p>
      <w:r>
        <w:rPr>
          <w:i/>
          <w:color w:val="595959"/>
        </w:rPr>
        <w:t>Gallery name, image definitions, current version, version retention.</w:t>
      </w:r>
    </w:p>
    <w:p/>
    <w:p>
      <w:pPr>
        <w:pStyle w:val="Heading1"/>
      </w:pPr>
      <w:r>
        <w:t>8. Identity</w:t>
      </w:r>
    </w:p>
    <w:p>
      <w:r>
        <w:rPr>
          <w:i/>
          <w:color w:val="595959"/>
        </w:rPr>
        <w:t>Entra groups, RBAC assignments, PIM eligible, CA policy IDs and conditions.</w:t>
      </w:r>
    </w:p>
    <w:p/>
    <w:p>
      <w:pPr>
        <w:pStyle w:val="Heading1"/>
      </w:pPr>
      <w:r>
        <w:t>9. Monitoring</w:t>
      </w:r>
    </w:p>
    <w:p>
      <w:r>
        <w:rPr>
          <w:i/>
          <w:color w:val="595959"/>
        </w:rPr>
        <w:t>Log Analytics workspace, diagnostic settings, AVD Insights workbook, alert rules, action groups.</w:t>
      </w:r>
    </w:p>
    <w:p/>
    <w:p>
      <w:pPr>
        <w:pStyle w:val="Heading1"/>
      </w:pPr>
      <w:r>
        <w:t>10. Scaling plans</w:t>
      </w:r>
    </w:p>
    <w:p>
      <w:r>
        <w:rPr>
          <w:i/>
          <w:color w:val="595959"/>
        </w:rPr>
        <w:t>Name, schedule, ramp-up / down configuration.</w:t>
      </w:r>
    </w:p>
    <w:p/>
    <w:p>
      <w:pPr>
        <w:pStyle w:val="Heading1"/>
      </w:pPr>
      <w:r>
        <w:t>11. App delivery</w:t>
      </w:r>
    </w:p>
    <w:p>
      <w:r>
        <w:rPr>
          <w:i/>
          <w:color w:val="595959"/>
        </w:rPr>
        <w:t>AppAttach packages, Intune app assignments, M365 Apps config.</w:t>
      </w:r>
    </w:p>
    <w:p/>
    <w:p>
      <w:pPr>
        <w:pStyle w:val="Heading1"/>
      </w:pPr>
      <w:r>
        <w:t>12. BCDR resources</w:t>
      </w:r>
    </w:p>
    <w:p>
      <w:r>
        <w:rPr>
          <w:i/>
          <w:color w:val="595959"/>
        </w:rPr>
        <w:t>Paired-region resources, replication mechanism, runbook references.</w:t>
      </w:r>
    </w:p>
    <w:p/>
    <w:p>
      <w:pPr>
        <w:pStyle w:val="Heading1"/>
      </w:pPr>
      <w:r>
        <w:t>13. IaC repository reference</w:t>
      </w:r>
    </w:p>
    <w:p>
      <w:r>
        <w:rPr>
          <w:i/>
          <w:color w:val="595959"/>
        </w:rPr>
        <w:t>Repo URL, commit SHA, parameter files.</w:t>
      </w:r>
    </w:p>
    <w:p/>
    <w:p>
      <w:pPr>
        <w:pStyle w:val="Heading1"/>
      </w:pPr>
      <w:r>
        <w:t>14. Change history since Go-Live</w:t>
      </w:r>
    </w:p>
    <w:p>
      <w:r>
        <w:rPr>
          <w:i/>
          <w:color w:val="595959"/>
        </w:rPr>
        <w:t>Date, change, ticket reference, owner.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