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95959"/>
          <w:sz w:val="28"/>
        </w:rPr>
        <w:br/>
        <w:br/>
        <w:br/>
        <w:t>Azure Virtual Desktop</w:t>
        <w:br/>
        <w:t>Microsoft Advanced Specialization</w:t>
      </w:r>
    </w:p>
    <w:p>
      <w:pPr>
        <w:jc w:val="center"/>
      </w:pPr>
      <w:r>
        <w:rPr>
          <w:b/>
          <w:color w:val="1F4E79"/>
          <w:sz w:val="56"/>
        </w:rPr>
        <w:br/>
        <w:t>Operational Runbook</w:t>
      </w:r>
    </w:p>
    <w:p>
      <w:pPr>
        <w:jc w:val="center"/>
      </w:pPr>
      <w:r>
        <w:rPr>
          <w:color w:val="595959"/>
          <w:sz w:val="26"/>
        </w:rPr>
        <w:t>Azure Virtual Desktop — template</w:t>
      </w:r>
    </w:p>
    <w:p>
      <w:pPr>
        <w:jc w:val="center"/>
      </w:pPr>
      <w:r>
        <w:rPr>
          <w:color w:val="595959"/>
          <w:sz w:val="20"/>
        </w:rPr>
        <w:br/>
        <w:br/>
        <w:t>Partner template — customise per customer engagement</w:t>
        <w:br/>
        <w:br/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and Update Field in Word to populate.</w:t>
      </w:r>
    </w:p>
    <w:p>
      <w:r>
        <w:fldChar w:fldCharType="begin"/>
        <w:instrText xml:space="preserve">TOC \o "1-3" \h \z \u</w:instrText>
        <w:fldChar w:fldCharType="separate"/>
        <w:t>Right-click to update.</w:t>
        <w:fldChar w:fldCharType="end"/>
      </w:r>
    </w:p>
    <w:p>
      <w:r>
        <w:br w:type="page"/>
      </w:r>
    </w:p>
    <w:p>
      <w:pPr>
        <w:pStyle w:val="Heading1"/>
      </w:pPr>
      <w:r>
        <w:t>1. Image refresh</w:t>
      </w:r>
    </w:p>
    <w:p>
      <w:r>
        <w:rPr>
          <w:i/>
          <w:color w:val="595959"/>
        </w:rPr>
        <w:t>Cadence; build via Azure Image Builder; validation pool; sign-off; rollout; rollback.</w:t>
      </w:r>
    </w:p>
    <w:p/>
    <w:p>
      <w:pPr>
        <w:pStyle w:val="Heading1"/>
      </w:pPr>
      <w:r>
        <w:t>2. Scaling</w:t>
      </w:r>
    </w:p>
    <w:p>
      <w:r>
        <w:rPr>
          <w:i/>
          <w:color w:val="595959"/>
        </w:rPr>
        <w:t>View current behaviour; adjust min / max; manage schedules; troubleshoot; cost impact.</w:t>
      </w:r>
    </w:p>
    <w:p/>
    <w:p>
      <w:pPr>
        <w:pStyle w:val="Heading1"/>
      </w:pPr>
      <w:r>
        <w:t>3. FSLogix</w:t>
      </w:r>
    </w:p>
    <w:p>
      <w:r>
        <w:rPr>
          <w:i/>
          <w:color w:val="595959"/>
        </w:rPr>
        <w:t>Container reset; container repair; share permissions audit; container growth review; Office container split.</w:t>
      </w:r>
    </w:p>
    <w:p/>
    <w:p>
      <w:pPr>
        <w:pStyle w:val="Heading1"/>
      </w:pPr>
      <w:r>
        <w:t>4. User onboarding / offboarding</w:t>
      </w:r>
    </w:p>
    <w:p>
      <w:r>
        <w:rPr>
          <w:i/>
          <w:color w:val="595959"/>
        </w:rPr>
        <w:t>Add to AVD group; pre-stage container; leaver archive / removal.</w:t>
      </w:r>
    </w:p>
    <w:p/>
    <w:p>
      <w:pPr>
        <w:pStyle w:val="Heading1"/>
      </w:pPr>
      <w:r>
        <w:t>5. Common incidents</w:t>
      </w:r>
    </w:p>
    <w:p>
      <w:r>
        <w:rPr>
          <w:i/>
          <w:color w:val="595959"/>
        </w:rPr>
        <w:t>Connection failure; slow logon; app launch failure; print failure; peripheral redirection.</w:t>
      </w:r>
    </w:p>
    <w:p/>
    <w:p>
      <w:pPr>
        <w:pStyle w:val="Heading1"/>
      </w:pPr>
      <w:r>
        <w:t>6. Patching</w:t>
      </w:r>
    </w:p>
    <w:p>
      <w:r>
        <w:rPr>
          <w:i/>
          <w:color w:val="595959"/>
        </w:rPr>
        <w:t>Ring-based update flow; WUfB / WSUS / Intune; image vs live patching; emergency patch.</w:t>
      </w:r>
    </w:p>
    <w:p/>
    <w:p>
      <w:pPr>
        <w:pStyle w:val="Heading1"/>
      </w:pPr>
      <w:r>
        <w:t>7. BCDR</w:t>
      </w:r>
    </w:p>
    <w:p>
      <w:r>
        <w:rPr>
          <w:i/>
          <w:color w:val="595959"/>
        </w:rPr>
        <w:t>Fail over to paired-region; fail back; FSLogix replication status; user communication.</w:t>
      </w:r>
    </w:p>
    <w:p/>
    <w:p>
      <w:pPr>
        <w:pStyle w:val="Heading1"/>
      </w:pPr>
      <w:r>
        <w:t>8. Backup / restore</w:t>
      </w:r>
    </w:p>
    <w:p>
      <w:r>
        <w:rPr>
          <w:i/>
          <w:color w:val="595959"/>
        </w:rPr>
        <w:t>What is backed up; RTO / RPO; restore procedures.</w:t>
      </w:r>
    </w:p>
    <w:p/>
    <w:p>
      <w:pPr>
        <w:pStyle w:val="Heading1"/>
      </w:pPr>
      <w:r>
        <w:t>9. Cost monitoring</w:t>
      </w:r>
    </w:p>
    <w:p>
      <w:r>
        <w:rPr>
          <w:i/>
          <w:color w:val="595959"/>
        </w:rPr>
        <w:t>Cost Management views; anomaly alerts; common levers.</w:t>
      </w:r>
    </w:p>
    <w:p/>
    <w:p>
      <w:pPr>
        <w:pStyle w:val="Heading1"/>
      </w:pPr>
      <w:r>
        <w:t>10. Escalation</w:t>
      </w:r>
    </w:p>
    <w:p>
      <w:r>
        <w:rPr>
          <w:i/>
          <w:color w:val="595959"/>
        </w:rPr>
        <w:t>L1 / L2 / L3 ownership; Microsoft support engagement; vendor escalation.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