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Low-Level Design</w:t>
      </w:r>
    </w:p>
    <w:p>
      <w:pPr>
        <w:jc w:val="center"/>
      </w:pPr>
      <w:r>
        <w:rPr>
          <w:i/>
          <w:sz w:val="28"/>
        </w:rPr>
        <w:t>Azure Local build-engineer-grade detail</w:t>
      </w:r>
    </w:p>
    <w:p/>
    <w:p>
      <w:pPr>
        <w:jc w:val="center"/>
      </w:pPr>
      <w:r>
        <w:rPr>
          <w:sz w:val="22"/>
        </w:rPr>
        <w:t>Customer: ______________________     Engagement: ______________________     Version: 0.1     Date: 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ind w:left="360"/>
      </w:pPr>
      <w:r>
        <w:t>1. 1. Cluster identity</w:t>
      </w:r>
    </w:p>
    <w:p>
      <w:pPr>
        <w:ind w:left="360"/>
      </w:pPr>
      <w:r>
        <w:t>2. 2. Per-node specification</w:t>
      </w:r>
    </w:p>
    <w:p>
      <w:pPr>
        <w:ind w:left="360"/>
      </w:pPr>
      <w:r>
        <w:t>3. 3. Switch and cabling map</w:t>
      </w:r>
    </w:p>
    <w:p>
      <w:pPr>
        <w:ind w:left="360"/>
      </w:pPr>
      <w:r>
        <w:t>4. 4. Network ATC intents</w:t>
      </w:r>
    </w:p>
    <w:p>
      <w:pPr>
        <w:ind w:left="360"/>
      </w:pPr>
      <w:r>
        <w:t>5. 5. S2D volume layout</w:t>
      </w:r>
    </w:p>
    <w:p>
      <w:pPr>
        <w:ind w:left="360"/>
      </w:pPr>
      <w:r>
        <w:t>6. 6. Workload placement table</w:t>
      </w:r>
    </w:p>
    <w:p>
      <w:pPr>
        <w:ind w:left="360"/>
      </w:pPr>
      <w:r>
        <w:t>7. 7. Arc enrolment specifics</w:t>
      </w:r>
    </w:p>
    <w:p>
      <w:pPr>
        <w:ind w:left="360"/>
      </w:pPr>
      <w:r>
        <w:t>8. 8. Monitor / Defender / Update Manager config</w:t>
      </w:r>
    </w:p>
    <w:p>
      <w:pPr>
        <w:ind w:left="360"/>
      </w:pPr>
      <w:r>
        <w:t>9. 9. Backup vault config</w:t>
      </w:r>
    </w:p>
    <w:p>
      <w:pPr>
        <w:ind w:left="360"/>
      </w:pPr>
      <w:r>
        <w:t>10. 10. Site Recovery config</w:t>
      </w:r>
    </w:p>
    <w:p>
      <w:pPr>
        <w:ind w:left="360"/>
      </w:pPr>
      <w:r>
        <w:t>11. 11. Identity bindings</w:t>
      </w:r>
    </w:p>
    <w:p>
      <w:pPr>
        <w:ind w:left="360"/>
      </w:pPr>
      <w:r>
        <w:t>12. 12. Security baselines</w:t>
      </w:r>
    </w:p>
    <w:p>
      <w:pPr>
        <w:ind w:left="360"/>
      </w:pPr>
      <w:r>
        <w:t>13. 13. Post-build validation tests</w:t>
      </w:r>
    </w:p>
    <w:p>
      <w:pPr>
        <w:ind w:left="360"/>
      </w:pPr>
      <w:r>
        <w:t>14. 14. Cutover plan</w:t>
      </w:r>
    </w:p>
    <w:p>
      <w:pPr>
        <w:ind w:left="360"/>
      </w:pPr>
      <w:r>
        <w:t>15. 15. Appendices</w:t>
      </w:r>
    </w:p>
    <w:p>
      <w:r>
        <w:rPr>
          <w:i/>
          <w:color w:val="808080"/>
          <w:sz w:val="18"/>
        </w:rPr>
        <w:t>(Right-click in Word -&gt; Update Field to regenerate live TOC once headings are finalised.)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Cluster identity</w:t>
      </w:r>
    </w:p>
    <w:p>
      <w:r>
        <w:rPr>
          <w:i/>
          <w:color w:val="595959"/>
        </w:rPr>
        <w:t>Name, resource group, region, tags.</w:t>
      </w:r>
    </w:p>
    <w:p/>
    <w:p>
      <w:pPr>
        <w:pStyle w:val="Heading1"/>
      </w:pPr>
      <w:r>
        <w:rPr>
          <w:color w:val="1F4E79"/>
        </w:rPr>
        <w:t>2. Per-node specification</w:t>
      </w:r>
    </w:p>
    <w:p>
      <w:r>
        <w:rPr>
          <w:i/>
          <w:color w:val="595959"/>
        </w:rPr>
        <w:t>SKU, serial, MAC list, firmware baseline.</w:t>
      </w:r>
    </w:p>
    <w:p/>
    <w:p>
      <w:pPr>
        <w:pStyle w:val="Heading1"/>
      </w:pPr>
      <w:r>
        <w:rPr>
          <w:color w:val="1F4E79"/>
        </w:rPr>
        <w:t>3. Switch and cabling map</w:t>
      </w:r>
    </w:p>
    <w:p>
      <w:r>
        <w:rPr>
          <w:i/>
          <w:color w:val="595959"/>
        </w:rPr>
        <w:t>Port-by-port from BoM.</w:t>
      </w:r>
    </w:p>
    <w:p/>
    <w:p>
      <w:pPr>
        <w:pStyle w:val="Heading1"/>
      </w:pPr>
      <w:r>
        <w:rPr>
          <w:color w:val="1F4E79"/>
        </w:rPr>
        <w:t>4. Network ATC intents</w:t>
      </w:r>
    </w:p>
    <w:p>
      <w:r>
        <w:rPr>
          <w:i/>
          <w:color w:val="595959"/>
        </w:rPr>
        <w:t>Management / compute / storage VLAN + IP plan.</w:t>
      </w:r>
    </w:p>
    <w:p/>
    <w:p>
      <w:pPr>
        <w:pStyle w:val="Heading1"/>
      </w:pPr>
      <w:r>
        <w:rPr>
          <w:color w:val="1F4E79"/>
        </w:rPr>
        <w:t>5. S2D volume layout</w:t>
      </w:r>
    </w:p>
    <w:p>
      <w:r>
        <w:rPr>
          <w:i/>
          <w:color w:val="595959"/>
        </w:rPr>
        <w:t>Per-volume name, size, resiliency tier, workload.</w:t>
      </w:r>
    </w:p>
    <w:p/>
    <w:p>
      <w:pPr>
        <w:pStyle w:val="Heading1"/>
      </w:pPr>
      <w:r>
        <w:rPr>
          <w:color w:val="1F4E79"/>
        </w:rPr>
        <w:t>6. Workload placement table</w:t>
      </w:r>
    </w:p>
    <w:p>
      <w:r>
        <w:rPr>
          <w:i/>
          <w:color w:val="595959"/>
        </w:rPr>
        <w:t>Hyper-V VM / AKS workload allocation.</w:t>
      </w:r>
    </w:p>
    <w:p/>
    <w:p>
      <w:pPr>
        <w:pStyle w:val="Heading1"/>
      </w:pPr>
      <w:r>
        <w:rPr>
          <w:color w:val="1F4E79"/>
        </w:rPr>
        <w:t>7. Arc enrolment specifics</w:t>
      </w:r>
    </w:p>
    <w:p>
      <w:r>
        <w:rPr>
          <w:i/>
          <w:color w:val="595959"/>
        </w:rPr>
        <w:t>Service principal, proxy, tags.</w:t>
      </w:r>
    </w:p>
    <w:p/>
    <w:p>
      <w:pPr>
        <w:pStyle w:val="Heading1"/>
      </w:pPr>
      <w:r>
        <w:rPr>
          <w:color w:val="1F4E79"/>
        </w:rPr>
        <w:t>8. Monitor / Defender / Update Manager config</w:t>
      </w:r>
    </w:p>
    <w:p>
      <w:r>
        <w:rPr>
          <w:i/>
          <w:color w:val="595959"/>
        </w:rPr>
        <w:t>DCRs, workspace, policies.</w:t>
      </w:r>
    </w:p>
    <w:p/>
    <w:p>
      <w:pPr>
        <w:pStyle w:val="Heading1"/>
      </w:pPr>
      <w:r>
        <w:rPr>
          <w:color w:val="1F4E79"/>
        </w:rPr>
        <w:t>9. Backup vault config</w:t>
      </w:r>
    </w:p>
    <w:p>
      <w:r>
        <w:rPr>
          <w:i/>
          <w:color w:val="595959"/>
        </w:rPr>
        <w:t>Per-VM policy mapping.</w:t>
      </w:r>
    </w:p>
    <w:p/>
    <w:p>
      <w:pPr>
        <w:pStyle w:val="Heading1"/>
      </w:pPr>
      <w:r>
        <w:rPr>
          <w:color w:val="1F4E79"/>
        </w:rPr>
        <w:t>10. Site Recovery config</w:t>
      </w:r>
    </w:p>
    <w:p>
      <w:r>
        <w:rPr>
          <w:i/>
          <w:color w:val="595959"/>
        </w:rPr>
        <w:t>If in scope - replication, RPO target.</w:t>
      </w:r>
    </w:p>
    <w:p/>
    <w:p>
      <w:pPr>
        <w:pStyle w:val="Heading1"/>
      </w:pPr>
      <w:r>
        <w:rPr>
          <w:color w:val="1F4E79"/>
        </w:rPr>
        <w:t>11. Identity bindings</w:t>
      </w:r>
    </w:p>
    <w:p>
      <w:r>
        <w:rPr>
          <w:i/>
          <w:color w:val="595959"/>
        </w:rPr>
        <w:t>Entra ID groups -&gt; Arc RBAC roles.</w:t>
      </w:r>
    </w:p>
    <w:p/>
    <w:p>
      <w:pPr>
        <w:pStyle w:val="Heading1"/>
      </w:pPr>
      <w:r>
        <w:rPr>
          <w:color w:val="1F4E79"/>
        </w:rPr>
        <w:t>12. Security baselines</w:t>
      </w:r>
    </w:p>
    <w:p>
      <w:r>
        <w:rPr>
          <w:i/>
          <w:color w:val="595959"/>
        </w:rPr>
        <w:t>WDAC policy file path, BitLocker key vault.</w:t>
      </w:r>
    </w:p>
    <w:p/>
    <w:p>
      <w:pPr>
        <w:pStyle w:val="Heading1"/>
      </w:pPr>
      <w:r>
        <w:rPr>
          <w:color w:val="1F4E79"/>
        </w:rPr>
        <w:t>13. Post-build validation tests</w:t>
      </w:r>
    </w:p>
    <w:p>
      <w:r>
        <w:rPr>
          <w:i/>
          <w:color w:val="595959"/>
        </w:rPr>
        <w:t>Expected output for each test.</w:t>
      </w:r>
    </w:p>
    <w:p/>
    <w:p>
      <w:pPr>
        <w:pStyle w:val="Heading1"/>
      </w:pPr>
      <w:r>
        <w:rPr>
          <w:color w:val="1F4E79"/>
        </w:rPr>
        <w:t>14. Cutover plan</w:t>
      </w:r>
    </w:p>
    <w:p>
      <w:r>
        <w:rPr>
          <w:i/>
          <w:color w:val="595959"/>
        </w:rPr>
        <w:t>Rollback triggers and decision points.</w:t>
      </w:r>
    </w:p>
    <w:p/>
    <w:p>
      <w:pPr>
        <w:pStyle w:val="Heading1"/>
      </w:pPr>
      <w:r>
        <w:rPr>
          <w:color w:val="1F4E79"/>
        </w:rPr>
        <w:t>15. Appendices</w:t>
      </w:r>
    </w:p>
    <w:p>
      <w:r>
        <w:rPr>
          <w:i/>
          <w:color w:val="595959"/>
        </w:rPr>
        <w:t>Cabling diagrams, vendor quotes, PowerShell snippets.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